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800D" w14:textId="21EBFCEB" w:rsidR="00B8436B" w:rsidRDefault="00B8436B" w:rsidP="0084615D">
      <w:r>
        <w:rPr>
          <w:noProof/>
          <w14:ligatures w14:val="standardContextual"/>
        </w:rPr>
        <w:drawing>
          <wp:inline distT="0" distB="0" distL="0" distR="0" wp14:anchorId="75527DF6" wp14:editId="14EBE6E8">
            <wp:extent cx="5943600" cy="1010285"/>
            <wp:effectExtent l="0" t="0" r="0" b="5715"/>
            <wp:docPr id="105947077" name="Picture 2" descr="Office for Civil Rights and Title IX Education and Complian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7077" name="Picture 2" descr="Office for Civil Rights and Title IX Education and Compliance logo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A4A9" w14:textId="2608CD8E" w:rsidR="009557F1" w:rsidRPr="009840B8" w:rsidRDefault="007E4B24" w:rsidP="009840B8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Frequently </w:t>
      </w:r>
      <w:r w:rsidR="00A84388"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sked </w:t>
      </w:r>
      <w:r w:rsidR="00A84388"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>Q</w:t>
      </w:r>
      <w:r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>uestions about Michigan State Univer</w:t>
      </w:r>
      <w:r w:rsidR="00A84388"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>si</w:t>
      </w:r>
      <w:r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>ty’s</w:t>
      </w:r>
      <w:r w:rsidR="4E192FC2"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>RVSM and Title IX</w:t>
      </w:r>
      <w:r w:rsidR="4E192FC2"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Policy</w:t>
      </w:r>
      <w:r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which</w:t>
      </w:r>
      <w:r w:rsidR="4E192FC2" w:rsidRPr="009840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prohibits acts of relationship violence, sexual misconduct, and stalking.  </w:t>
      </w:r>
    </w:p>
    <w:p w14:paraId="340A8967" w14:textId="2E329300" w:rsidR="24661DB6" w:rsidRDefault="24661DB6" w:rsidP="24661DB6">
      <w:pPr>
        <w:pStyle w:val="ListParagraph"/>
      </w:pPr>
    </w:p>
    <w:p w14:paraId="5E9CB62F" w14:textId="649AA42D" w:rsidR="4E192FC2" w:rsidRDefault="4E192FC2" w:rsidP="00952978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What do</w:t>
      </w:r>
      <w:r w:rsidR="007E4B24">
        <w:t xml:space="preserve"> the terms</w:t>
      </w:r>
      <w:r>
        <w:t xml:space="preserve"> </w:t>
      </w:r>
      <w:r w:rsidR="478657AC">
        <w:t xml:space="preserve">RVSM </w:t>
      </w:r>
      <w:r w:rsidR="007E4B24">
        <w:t xml:space="preserve">and </w:t>
      </w:r>
      <w:r w:rsidR="478657AC">
        <w:t>Title IX</w:t>
      </w:r>
      <w:r>
        <w:t xml:space="preserve"> mean?</w:t>
      </w:r>
    </w:p>
    <w:p w14:paraId="65F3BEC3" w14:textId="2BE5A5AB" w:rsidR="00952978" w:rsidRDefault="007E4B24" w:rsidP="00A84388">
      <w:pPr>
        <w:spacing w:line="240" w:lineRule="auto"/>
        <w:ind w:left="720"/>
      </w:pPr>
      <w:r>
        <w:t>RVSM stands for relationship violence and sexual misconduct and is a broader set of definitions and procedures</w:t>
      </w:r>
      <w:r w:rsidR="00A84388">
        <w:t xml:space="preserve"> than what Title IX covers</w:t>
      </w:r>
      <w:r>
        <w:t xml:space="preserve">. </w:t>
      </w:r>
      <w:r w:rsidR="00A84388">
        <w:t xml:space="preserve">Title IX is an important federal legal protection that prohibits sexual harassment and gender discrimination in educational settings.  The Title IX regulations have certain definitions </w:t>
      </w:r>
      <w:proofErr w:type="gramStart"/>
      <w:r w:rsidR="00A84388">
        <w:t>and  procedural</w:t>
      </w:r>
      <w:proofErr w:type="gramEnd"/>
      <w:r w:rsidR="00A84388">
        <w:t xml:space="preserve"> requirements that the University must follow. </w:t>
      </w:r>
      <w:r>
        <w:t xml:space="preserve">Even when Title IX does not apply, the University will still evaluate the conduct under the RVSM definitions. </w:t>
      </w:r>
      <w:r w:rsidR="623F45A0">
        <w:t xml:space="preserve">What are the </w:t>
      </w:r>
      <w:r w:rsidR="1DE50871">
        <w:t>stages</w:t>
      </w:r>
      <w:r w:rsidR="623F45A0">
        <w:t xml:space="preserve"> in the RVSM and Title IX process?</w:t>
      </w:r>
    </w:p>
    <w:p w14:paraId="1A5C2770" w14:textId="77777777" w:rsidR="00A84388" w:rsidRDefault="00A84388" w:rsidP="00A84388">
      <w:pPr>
        <w:pStyle w:val="ListParagraph"/>
        <w:numPr>
          <w:ilvl w:val="0"/>
          <w:numId w:val="2"/>
        </w:numPr>
        <w:spacing w:line="240" w:lineRule="auto"/>
      </w:pPr>
      <w:r>
        <w:t xml:space="preserve">What are the five stages in the RVSM and Title IX process? </w:t>
      </w:r>
    </w:p>
    <w:p w14:paraId="2911CB09" w14:textId="77777777" w:rsidR="00A84388" w:rsidRDefault="00A84388" w:rsidP="00A84388">
      <w:pPr>
        <w:pStyle w:val="ListParagraph"/>
        <w:spacing w:line="240" w:lineRule="auto"/>
      </w:pPr>
    </w:p>
    <w:p w14:paraId="33757A3B" w14:textId="197C4923" w:rsidR="623F45A0" w:rsidRDefault="623F45A0" w:rsidP="00A84388">
      <w:pPr>
        <w:pStyle w:val="ListParagraph"/>
        <w:spacing w:line="240" w:lineRule="auto"/>
      </w:pPr>
      <w:r>
        <w:t>The five stages are intake, investigation, hearing, decision, and appeal</w:t>
      </w:r>
      <w:r w:rsidR="00A84388">
        <w:t>:</w:t>
      </w:r>
    </w:p>
    <w:p w14:paraId="5610A3B2" w14:textId="77777777" w:rsidR="00A84388" w:rsidRDefault="00A84388" w:rsidP="00A84388">
      <w:pPr>
        <w:pStyle w:val="ListParagraph"/>
        <w:spacing w:line="240" w:lineRule="auto"/>
      </w:pPr>
    </w:p>
    <w:p w14:paraId="2F7FFABA" w14:textId="1CDDDB5C" w:rsidR="623F45A0" w:rsidRDefault="623F45A0" w:rsidP="002774E4">
      <w:pPr>
        <w:pStyle w:val="ListParagraph"/>
        <w:numPr>
          <w:ilvl w:val="1"/>
          <w:numId w:val="1"/>
        </w:numPr>
        <w:tabs>
          <w:tab w:val="left" w:pos="810"/>
        </w:tabs>
      </w:pPr>
      <w:r>
        <w:t xml:space="preserve">The process begins with </w:t>
      </w:r>
      <w:r w:rsidR="00FF48C5">
        <w:t xml:space="preserve">a report and </w:t>
      </w:r>
      <w:r>
        <w:t xml:space="preserve">an initial review by OCR’s </w:t>
      </w:r>
      <w:r w:rsidR="00FF48C5">
        <w:t>Support and I</w:t>
      </w:r>
      <w:r>
        <w:t xml:space="preserve">ntake team.  </w:t>
      </w:r>
    </w:p>
    <w:p w14:paraId="774FA1B7" w14:textId="03A8BC52" w:rsidR="623F45A0" w:rsidRDefault="623F45A0" w:rsidP="002774E4">
      <w:pPr>
        <w:pStyle w:val="ListParagraph"/>
        <w:numPr>
          <w:ilvl w:val="1"/>
          <w:numId w:val="1"/>
        </w:numPr>
        <w:tabs>
          <w:tab w:val="left" w:pos="810"/>
        </w:tabs>
      </w:pPr>
      <w:r>
        <w:t>Once a formal complaint is signed, an investigator is assigned to the case</w:t>
      </w:r>
      <w:r w:rsidR="00B65B65">
        <w:t>,</w:t>
      </w:r>
      <w:r>
        <w:t xml:space="preserve"> and the formal grievance process</w:t>
      </w:r>
      <w:r w:rsidR="00B65B65">
        <w:t xml:space="preserve"> begins</w:t>
      </w:r>
      <w:r>
        <w:t xml:space="preserve">.  </w:t>
      </w:r>
    </w:p>
    <w:p w14:paraId="5761D5C4" w14:textId="28ABC30A" w:rsidR="623F45A0" w:rsidRDefault="623F45A0" w:rsidP="002774E4">
      <w:pPr>
        <w:pStyle w:val="ListParagraph"/>
        <w:numPr>
          <w:ilvl w:val="1"/>
          <w:numId w:val="1"/>
        </w:numPr>
        <w:tabs>
          <w:tab w:val="left" w:pos="810"/>
        </w:tabs>
      </w:pPr>
      <w:r>
        <w:t xml:space="preserve">At the conclusion of the investigation, a virtual hearing is convened by a Resolution Officer to clarify the information in the report and determine if the policy has been violated. </w:t>
      </w:r>
    </w:p>
    <w:p w14:paraId="241E89CA" w14:textId="5F10E69A" w:rsidR="623F45A0" w:rsidRDefault="623F45A0" w:rsidP="002774E4">
      <w:pPr>
        <w:pStyle w:val="ListParagraph"/>
        <w:numPr>
          <w:ilvl w:val="1"/>
          <w:numId w:val="1"/>
        </w:numPr>
        <w:tabs>
          <w:tab w:val="left" w:pos="810"/>
        </w:tabs>
      </w:pPr>
      <w:r>
        <w:t xml:space="preserve"> A written decision is issued and there is an opportunity to appeal the decision</w:t>
      </w:r>
      <w:r w:rsidR="00A84388">
        <w:t xml:space="preserve"> to the Equity Review Officer (ERO)</w:t>
      </w:r>
      <w:r>
        <w:t>.  Once the appeal is complete, the decision becomes final.  If there is no appeal, the decision is final after the issuance of the Resolution Officer’s decision.</w:t>
      </w:r>
    </w:p>
    <w:p w14:paraId="415D27EB" w14:textId="77777777" w:rsidR="00823168" w:rsidRDefault="00823168" w:rsidP="00823168">
      <w:pPr>
        <w:pStyle w:val="ListParagraph"/>
        <w:tabs>
          <w:tab w:val="left" w:pos="810"/>
        </w:tabs>
        <w:ind w:left="1440"/>
      </w:pPr>
    </w:p>
    <w:p w14:paraId="27527C3A" w14:textId="61A44783" w:rsidR="00E62B65" w:rsidRDefault="00E62B65" w:rsidP="00952978">
      <w:pPr>
        <w:pStyle w:val="ListParagraph"/>
        <w:numPr>
          <w:ilvl w:val="0"/>
          <w:numId w:val="2"/>
        </w:numPr>
        <w:spacing w:line="240" w:lineRule="auto"/>
      </w:pPr>
      <w:r>
        <w:t>Who are the individuals involved in the process?</w:t>
      </w:r>
    </w:p>
    <w:p w14:paraId="6BC21F4A" w14:textId="48D1219D" w:rsidR="007E4B24" w:rsidRDefault="00CB4077" w:rsidP="00CB4077">
      <w:pPr>
        <w:spacing w:line="240" w:lineRule="auto"/>
        <w:ind w:left="720"/>
      </w:pPr>
      <w:r>
        <w:rPr>
          <w:rStyle w:val="ui-provider"/>
        </w:rPr>
        <w:t xml:space="preserve">The claimant is a person who is reported to have been subject to prohibited conduct. </w:t>
      </w:r>
      <w:r w:rsidR="002D4FF7">
        <w:t xml:space="preserve">The respondent is </w:t>
      </w:r>
      <w:proofErr w:type="gramStart"/>
      <w:r>
        <w:t>an</w:t>
      </w:r>
      <w:proofErr w:type="gramEnd"/>
      <w:r w:rsidR="002D4FF7">
        <w:t xml:space="preserve"> </w:t>
      </w:r>
      <w:r w:rsidR="002D4108">
        <w:t>person</w:t>
      </w:r>
      <w:r w:rsidR="002D4FF7">
        <w:t xml:space="preserve"> who is </w:t>
      </w:r>
      <w:r w:rsidR="00952978">
        <w:t>reported to</w:t>
      </w:r>
      <w:r w:rsidR="002D4FF7">
        <w:t xml:space="preserve"> have engaged in the prohibited conduct. </w:t>
      </w:r>
      <w:r w:rsidR="002D4108">
        <w:rPr>
          <w:rStyle w:val="ui-provider"/>
        </w:rPr>
        <w:t>A witness is a person believed to have information regarding an incident which may violate th</w:t>
      </w:r>
      <w:r w:rsidR="00A84388">
        <w:rPr>
          <w:rStyle w:val="ui-provider"/>
        </w:rPr>
        <w:t>e</w:t>
      </w:r>
      <w:r w:rsidR="002D4108">
        <w:rPr>
          <w:rStyle w:val="ui-provider"/>
        </w:rPr>
        <w:t xml:space="preserve"> Policy, including but not limited to someone present when the incident occurred, someone the claimant or respondent communicated with about the incident, and/or someone who may have information relevant to the incident. </w:t>
      </w:r>
      <w:r w:rsidR="002D4FF7">
        <w:t>Adv</w:t>
      </w:r>
      <w:r w:rsidR="00952978">
        <w:t>isors</w:t>
      </w:r>
      <w:r w:rsidR="002D4FF7">
        <w:t xml:space="preserve"> </w:t>
      </w:r>
      <w:proofErr w:type="gramStart"/>
      <w:r w:rsidR="00952978">
        <w:t>provide assistance</w:t>
      </w:r>
      <w:proofErr w:type="gramEnd"/>
      <w:r w:rsidR="00952978">
        <w:t xml:space="preserve"> </w:t>
      </w:r>
      <w:r w:rsidR="002D4FF7">
        <w:t>through the process and conduct cross</w:t>
      </w:r>
      <w:r w:rsidR="00A84388">
        <w:t>-</w:t>
      </w:r>
      <w:r w:rsidR="002D4FF7">
        <w:t xml:space="preserve">examination during the hearing. </w:t>
      </w:r>
    </w:p>
    <w:p w14:paraId="704AAB08" w14:textId="44E3C96E" w:rsidR="00952978" w:rsidRDefault="009557F1" w:rsidP="00952978">
      <w:pPr>
        <w:pStyle w:val="ListParagraph"/>
        <w:numPr>
          <w:ilvl w:val="0"/>
          <w:numId w:val="2"/>
        </w:numPr>
      </w:pPr>
      <w:r>
        <w:t>What happens when a report is made to</w:t>
      </w:r>
      <w:r w:rsidR="1C9FD0EA">
        <w:t xml:space="preserve"> the</w:t>
      </w:r>
      <w:r>
        <w:t xml:space="preserve"> O</w:t>
      </w:r>
      <w:r w:rsidR="10057A88">
        <w:t>ffice for Civil Rights (OCR)</w:t>
      </w:r>
      <w:r>
        <w:t>?</w:t>
      </w:r>
    </w:p>
    <w:p w14:paraId="71B34A2A" w14:textId="77777777" w:rsidR="00952978" w:rsidRDefault="00952978" w:rsidP="00952978">
      <w:pPr>
        <w:pStyle w:val="ListParagraph"/>
      </w:pPr>
    </w:p>
    <w:p w14:paraId="7143FBDF" w14:textId="5C5F288B" w:rsidR="009557F1" w:rsidRDefault="009557F1" w:rsidP="009557F1">
      <w:pPr>
        <w:pStyle w:val="ListParagraph"/>
      </w:pPr>
      <w:r>
        <w:lastRenderedPageBreak/>
        <w:t xml:space="preserve">Once a report is made, Office </w:t>
      </w:r>
      <w:r w:rsidR="00952978">
        <w:t>for</w:t>
      </w:r>
      <w:r>
        <w:t xml:space="preserve"> Civil Rights reviews the report, provides </w:t>
      </w:r>
      <w:proofErr w:type="gramStart"/>
      <w:r>
        <w:t>support</w:t>
      </w:r>
      <w:proofErr w:type="gramEnd"/>
      <w:r>
        <w:t xml:space="preserve"> and resources, and initially assesses the report to determine if the conduct might</w:t>
      </w:r>
      <w:r w:rsidR="002D4108">
        <w:t xml:space="preserve"> be covered</w:t>
      </w:r>
      <w:r>
        <w:t xml:space="preserve"> under the RVSM and Title IX Policy</w:t>
      </w:r>
      <w:r w:rsidR="05BA83CF">
        <w:t>, and other policies administered by OCR</w:t>
      </w:r>
      <w:r>
        <w:t xml:space="preserve">.  If OCR’s policies cover the </w:t>
      </w:r>
      <w:r w:rsidR="00952978">
        <w:t xml:space="preserve">reported </w:t>
      </w:r>
      <w:r>
        <w:t xml:space="preserve">prohibited conduct, OCR will </w:t>
      </w:r>
      <w:r w:rsidR="3D51F2DB">
        <w:t>contact</w:t>
      </w:r>
      <w:r>
        <w:t xml:space="preserve"> the impacted person</w:t>
      </w:r>
      <w:r w:rsidR="00952978">
        <w:t>(s)</w:t>
      </w:r>
      <w:r>
        <w:t xml:space="preserve"> to provide an opportunity to discuss their options.  </w:t>
      </w:r>
    </w:p>
    <w:p w14:paraId="51ABBC4D" w14:textId="77777777" w:rsidR="00DC7E15" w:rsidRDefault="00DC7E15" w:rsidP="009557F1">
      <w:pPr>
        <w:pStyle w:val="ListParagraph"/>
      </w:pPr>
    </w:p>
    <w:p w14:paraId="16E05932" w14:textId="063118DC" w:rsidR="00DC7E15" w:rsidRDefault="00DC7E15" w:rsidP="00DC7E15">
      <w:pPr>
        <w:pStyle w:val="ListParagraph"/>
        <w:numPr>
          <w:ilvl w:val="0"/>
          <w:numId w:val="2"/>
        </w:numPr>
      </w:pPr>
      <w:r>
        <w:t>What supports and resources are available</w:t>
      </w:r>
      <w:r w:rsidR="007521C9">
        <w:t xml:space="preserve"> throughout the </w:t>
      </w:r>
      <w:proofErr w:type="gramStart"/>
      <w:r w:rsidR="007521C9">
        <w:t>process</w:t>
      </w:r>
      <w:r w:rsidR="00991870">
        <w:t xml:space="preserve"> </w:t>
      </w:r>
      <w:r>
        <w:t>?</w:t>
      </w:r>
      <w:proofErr w:type="gramEnd"/>
    </w:p>
    <w:p w14:paraId="24935D1B" w14:textId="77777777" w:rsidR="00952978" w:rsidRDefault="00952978" w:rsidP="00952978">
      <w:pPr>
        <w:pStyle w:val="ListParagraph"/>
      </w:pPr>
    </w:p>
    <w:p w14:paraId="37CA82AB" w14:textId="0381E52C" w:rsidR="00DC7E15" w:rsidRDefault="00DC7E15" w:rsidP="00DC7E15">
      <w:pPr>
        <w:pStyle w:val="ListParagraph"/>
      </w:pPr>
      <w:r>
        <w:t xml:space="preserve">OCR staff will be in communication with claimants, respondents, and witnesses to </w:t>
      </w:r>
      <w:r w:rsidR="00B91E3D">
        <w:t xml:space="preserve">help determine </w:t>
      </w:r>
      <w:r>
        <w:t xml:space="preserve">their needs. </w:t>
      </w:r>
      <w:r w:rsidR="00E82F78">
        <w:t>T</w:t>
      </w:r>
      <w:r w:rsidR="00FA355E">
        <w:t>o assi</w:t>
      </w:r>
      <w:r w:rsidR="002D4108">
        <w:t>s</w:t>
      </w:r>
      <w:r w:rsidR="00FA355E">
        <w:t>t them with meetings and the hearing, t</w:t>
      </w:r>
      <w:r w:rsidR="00E82F78">
        <w:t>he</w:t>
      </w:r>
      <w:r w:rsidR="009920BD">
        <w:t xml:space="preserve"> claimant</w:t>
      </w:r>
      <w:r w:rsidR="00952978">
        <w:t>(s</w:t>
      </w:r>
      <w:proofErr w:type="gramStart"/>
      <w:r w:rsidR="00952978">
        <w:t>)</w:t>
      </w:r>
      <w:proofErr w:type="gramEnd"/>
      <w:r w:rsidR="009920BD">
        <w:t xml:space="preserve"> and respondent</w:t>
      </w:r>
      <w:r w:rsidR="00952978">
        <w:t>(s)</w:t>
      </w:r>
      <w:r w:rsidR="009920BD">
        <w:t xml:space="preserve"> each </w:t>
      </w:r>
      <w:r>
        <w:t xml:space="preserve">may have </w:t>
      </w:r>
      <w:r w:rsidR="007467F9">
        <w:t xml:space="preserve">a support person and </w:t>
      </w:r>
      <w:r>
        <w:t>an advisor of their choice</w:t>
      </w:r>
      <w:r w:rsidR="00CA2316">
        <w:t xml:space="preserve">. The University will provide an </w:t>
      </w:r>
      <w:r w:rsidR="00A84388">
        <w:t>OCR A</w:t>
      </w:r>
      <w:r w:rsidR="00CA2316">
        <w:t>dvisor at no cost</w:t>
      </w:r>
      <w:r w:rsidR="00A84388">
        <w:t>. H</w:t>
      </w:r>
      <w:r w:rsidR="00CA2316">
        <w:t>owever</w:t>
      </w:r>
      <w:r w:rsidR="00A84388">
        <w:t>,</w:t>
      </w:r>
      <w:r w:rsidR="00CA2316">
        <w:t xml:space="preserve"> the claimant</w:t>
      </w:r>
      <w:r w:rsidR="00952978">
        <w:t>(s)</w:t>
      </w:r>
      <w:r w:rsidR="00CA2316">
        <w:t xml:space="preserve"> and respondent</w:t>
      </w:r>
      <w:r w:rsidR="00952978">
        <w:t>(s)</w:t>
      </w:r>
      <w:r w:rsidR="00CA2316">
        <w:t xml:space="preserve"> </w:t>
      </w:r>
      <w:r w:rsidR="00A84388">
        <w:t xml:space="preserve">are not required to use an OCR Advisor and </w:t>
      </w:r>
      <w:r w:rsidR="00CA2316">
        <w:t xml:space="preserve">can </w:t>
      </w:r>
      <w:r w:rsidR="00DB14CB">
        <w:t>choose their own advisor.</w:t>
      </w:r>
      <w:r>
        <w:t xml:space="preserve"> </w:t>
      </w:r>
      <w:r w:rsidR="003B7DA3">
        <w:t xml:space="preserve">In addition to </w:t>
      </w:r>
      <w:r w:rsidR="00DB5121">
        <w:t xml:space="preserve">advising the </w:t>
      </w:r>
      <w:r w:rsidR="00952978">
        <w:t>person</w:t>
      </w:r>
      <w:r w:rsidR="00DB5121">
        <w:t xml:space="preserve"> through the process, </w:t>
      </w:r>
      <w:r w:rsidR="00952978">
        <w:t>a</w:t>
      </w:r>
      <w:r>
        <w:t>dvisors conduct cross-examination on behalf of the claimant</w:t>
      </w:r>
      <w:r w:rsidR="00952978">
        <w:t>(s)</w:t>
      </w:r>
      <w:r>
        <w:t xml:space="preserve"> or respondent</w:t>
      </w:r>
      <w:r w:rsidR="00CB4077">
        <w:t>(s)</w:t>
      </w:r>
      <w:r>
        <w:t xml:space="preserve"> during the hearing.  </w:t>
      </w:r>
    </w:p>
    <w:p w14:paraId="6B861870" w14:textId="77777777" w:rsidR="002D4108" w:rsidRDefault="002D4108" w:rsidP="00823168">
      <w:pPr>
        <w:pStyle w:val="ListParagraph"/>
      </w:pPr>
    </w:p>
    <w:p w14:paraId="044D26E2" w14:textId="5D7AC37B" w:rsidR="005756E2" w:rsidRDefault="00A84388" w:rsidP="00823168">
      <w:pPr>
        <w:pStyle w:val="ListParagraph"/>
      </w:pPr>
      <w:r>
        <w:t>C</w:t>
      </w:r>
      <w:r w:rsidR="00E485E8">
        <w:t>ampus resources and services are also available at any time</w:t>
      </w:r>
      <w:r w:rsidR="45A17181">
        <w:t>.</w:t>
      </w:r>
      <w:r w:rsidR="0B1375F6">
        <w:t xml:space="preserve"> For a list of resources and services please visit poe.msu.edu/resources </w:t>
      </w:r>
    </w:p>
    <w:p w14:paraId="68E5401A" w14:textId="77777777" w:rsidR="00823168" w:rsidRDefault="00823168" w:rsidP="00823168">
      <w:pPr>
        <w:pStyle w:val="ListParagraph"/>
      </w:pPr>
    </w:p>
    <w:p w14:paraId="1771B3F0" w14:textId="44679C97" w:rsidR="005756E2" w:rsidRDefault="005756E2" w:rsidP="005756E2">
      <w:pPr>
        <w:pStyle w:val="ListParagraph"/>
        <w:numPr>
          <w:ilvl w:val="0"/>
          <w:numId w:val="2"/>
        </w:numPr>
      </w:pPr>
      <w:r>
        <w:t>Can I remain anonymous?</w:t>
      </w:r>
    </w:p>
    <w:p w14:paraId="55EF2725" w14:textId="77777777" w:rsidR="00952978" w:rsidRDefault="00952978" w:rsidP="00952978">
      <w:pPr>
        <w:pStyle w:val="ListParagraph"/>
      </w:pPr>
    </w:p>
    <w:p w14:paraId="0010C41A" w14:textId="65159763" w:rsidR="005756E2" w:rsidRDefault="005756E2" w:rsidP="005756E2">
      <w:pPr>
        <w:pStyle w:val="ListParagraph"/>
      </w:pPr>
      <w:r>
        <w:t xml:space="preserve">No.  The identities of those involved will be included </w:t>
      </w:r>
      <w:r w:rsidR="001279AF">
        <w:t>i</w:t>
      </w:r>
      <w:r>
        <w:t xml:space="preserve">n the formal complaint which will be </w:t>
      </w:r>
      <w:r w:rsidR="009B5221">
        <w:t>issued</w:t>
      </w:r>
      <w:r>
        <w:t xml:space="preserve"> to </w:t>
      </w:r>
      <w:r w:rsidR="009B5221">
        <w:t xml:space="preserve">the </w:t>
      </w:r>
      <w:r>
        <w:t>claimant</w:t>
      </w:r>
      <w:r w:rsidR="009B5221">
        <w:t>(s)</w:t>
      </w:r>
      <w:r>
        <w:t xml:space="preserve"> and </w:t>
      </w:r>
      <w:r w:rsidR="009B5221">
        <w:t xml:space="preserve">the </w:t>
      </w:r>
      <w:r>
        <w:t>respondent</w:t>
      </w:r>
      <w:r w:rsidR="009B5221">
        <w:t>(s)</w:t>
      </w:r>
      <w:r>
        <w:t>.  OCR will maintain privacy for the claimant</w:t>
      </w:r>
      <w:r w:rsidR="00CB4077">
        <w:t>(s)</w:t>
      </w:r>
      <w:r>
        <w:t>, respondent</w:t>
      </w:r>
      <w:r w:rsidR="00CB4077">
        <w:t>(s)</w:t>
      </w:r>
      <w:r>
        <w:t>, witnesses, and information gathered.</w:t>
      </w:r>
    </w:p>
    <w:p w14:paraId="1E3FB89E" w14:textId="77777777" w:rsidR="005756E2" w:rsidRDefault="005756E2" w:rsidP="005756E2">
      <w:pPr>
        <w:pStyle w:val="ListParagraph"/>
      </w:pPr>
    </w:p>
    <w:p w14:paraId="0D9A4E75" w14:textId="52BD8B8F" w:rsidR="005756E2" w:rsidRDefault="005756E2" w:rsidP="005756E2">
      <w:pPr>
        <w:pStyle w:val="ListParagraph"/>
        <w:numPr>
          <w:ilvl w:val="0"/>
          <w:numId w:val="2"/>
        </w:numPr>
      </w:pPr>
      <w:r>
        <w:t>To what extent is the process confidential?</w:t>
      </w:r>
    </w:p>
    <w:p w14:paraId="4C9FD3FA" w14:textId="77777777" w:rsidR="00952978" w:rsidRDefault="00952978" w:rsidP="00952978">
      <w:pPr>
        <w:pStyle w:val="ListParagraph"/>
      </w:pPr>
    </w:p>
    <w:p w14:paraId="0C324CD1" w14:textId="12647DBF" w:rsidR="0077608E" w:rsidRDefault="005756E2" w:rsidP="001775E3">
      <w:pPr>
        <w:pStyle w:val="ListParagraph"/>
      </w:pPr>
      <w:r>
        <w:t>The process is private but not confidential. T</w:t>
      </w:r>
      <w:r w:rsidRPr="00C941F4">
        <w:t>he University will keep private the identit</w:t>
      </w:r>
      <w:r w:rsidR="001D777D">
        <w:t>ies</w:t>
      </w:r>
      <w:r w:rsidRPr="00C941F4">
        <w:t xml:space="preserve"> of any </w:t>
      </w:r>
      <w:r w:rsidR="00CB4077">
        <w:t>persons</w:t>
      </w:r>
      <w:r>
        <w:t xml:space="preserve"> involved in the process</w:t>
      </w:r>
      <w:r w:rsidRPr="00C941F4">
        <w:t>. The</w:t>
      </w:r>
      <w:r>
        <w:t xml:space="preserve">re are limited </w:t>
      </w:r>
      <w:r w:rsidRPr="00C941F4">
        <w:t xml:space="preserve">exceptions </w:t>
      </w:r>
      <w:r>
        <w:t>where disclosures may be permitted by law or are necessary to carry out the purposes of this Policy.</w:t>
      </w:r>
      <w:r w:rsidRPr="00C941F4">
        <w:t xml:space="preserve"> Reports, including the identities of the </w:t>
      </w:r>
      <w:r w:rsidR="00CB4077">
        <w:t xml:space="preserve">persons </w:t>
      </w:r>
      <w:r w:rsidRPr="00C941F4">
        <w:t xml:space="preserve">and the reported conduct, may be referred to other </w:t>
      </w:r>
      <w:r w:rsidR="001775E3">
        <w:t>campus entities</w:t>
      </w:r>
      <w:r w:rsidRPr="00C941F4">
        <w:t xml:space="preserve"> for consideration under additional University policies.</w:t>
      </w:r>
      <w:r>
        <w:t xml:space="preserve"> The claimant</w:t>
      </w:r>
      <w:r w:rsidR="00CB4077">
        <w:t>(s)</w:t>
      </w:r>
      <w:r>
        <w:t xml:space="preserve"> and respondent</w:t>
      </w:r>
      <w:r w:rsidR="00CB4077">
        <w:t>(s)</w:t>
      </w:r>
      <w:r>
        <w:t xml:space="preserve"> are not prohibited from sharing their experience or discussing the investigation or hearing process to the extent that it does not constitute retaliation.  </w:t>
      </w:r>
    </w:p>
    <w:p w14:paraId="592182A7" w14:textId="77777777" w:rsidR="001775E3" w:rsidRDefault="001775E3" w:rsidP="001775E3">
      <w:pPr>
        <w:pStyle w:val="ListParagraph"/>
      </w:pPr>
    </w:p>
    <w:p w14:paraId="47743844" w14:textId="77777777" w:rsidR="0077608E" w:rsidRDefault="0077608E" w:rsidP="0077608E">
      <w:pPr>
        <w:pStyle w:val="ListParagraph"/>
        <w:numPr>
          <w:ilvl w:val="0"/>
          <w:numId w:val="2"/>
        </w:numPr>
      </w:pPr>
      <w:r>
        <w:t>What is included in an investigation?</w:t>
      </w:r>
    </w:p>
    <w:p w14:paraId="6E464902" w14:textId="6EF59E5F" w:rsidR="0077608E" w:rsidRDefault="0077608E" w:rsidP="00823168">
      <w:pPr>
        <w:ind w:left="720"/>
      </w:pPr>
      <w:r w:rsidRPr="00E67271">
        <w:rPr>
          <w:rStyle w:val="ui-provider"/>
        </w:rPr>
        <w:t xml:space="preserve">The investigator issues the </w:t>
      </w:r>
      <w:r w:rsidR="00A84388">
        <w:rPr>
          <w:rStyle w:val="ui-provider"/>
        </w:rPr>
        <w:t xml:space="preserve">formal complaint and </w:t>
      </w:r>
      <w:r w:rsidRPr="00E67271">
        <w:rPr>
          <w:rStyle w:val="ui-provider"/>
        </w:rPr>
        <w:t>notice of investigation, gathers evidence</w:t>
      </w:r>
      <w:r w:rsidR="00A84388">
        <w:rPr>
          <w:rStyle w:val="ui-provider"/>
        </w:rPr>
        <w:t xml:space="preserve"> including by conducting interviews</w:t>
      </w:r>
      <w:r w:rsidRPr="00E67271">
        <w:rPr>
          <w:rStyle w:val="ui-provider"/>
        </w:rPr>
        <w:t>, writes a draft investigation report and allows the claimant</w:t>
      </w:r>
      <w:r w:rsidR="002D4108">
        <w:rPr>
          <w:rStyle w:val="ui-provider"/>
        </w:rPr>
        <w:t>(s)</w:t>
      </w:r>
      <w:r w:rsidRPr="00E67271">
        <w:rPr>
          <w:rStyle w:val="ui-provider"/>
        </w:rPr>
        <w:t xml:space="preserve"> and respondent</w:t>
      </w:r>
      <w:r w:rsidR="002D4108">
        <w:rPr>
          <w:rStyle w:val="ui-provider"/>
        </w:rPr>
        <w:t>(s)</w:t>
      </w:r>
      <w:r w:rsidRPr="00E67271">
        <w:rPr>
          <w:rStyle w:val="ui-provider"/>
        </w:rPr>
        <w:t xml:space="preserve"> to review and respond</w:t>
      </w:r>
      <w:r>
        <w:rPr>
          <w:rStyle w:val="ui-provider"/>
        </w:rPr>
        <w:t xml:space="preserve"> to the evidence</w:t>
      </w:r>
      <w:r w:rsidRPr="00E67271">
        <w:rPr>
          <w:rStyle w:val="ui-provider"/>
        </w:rPr>
        <w:t xml:space="preserve">. Evidence gathering may include statements from the claimant, respondent, witnesses, and documents </w:t>
      </w:r>
      <w:r w:rsidR="00A84388">
        <w:rPr>
          <w:rStyle w:val="ui-provider"/>
        </w:rPr>
        <w:t>and/</w:t>
      </w:r>
      <w:r w:rsidRPr="00E67271">
        <w:rPr>
          <w:rStyle w:val="ui-provider"/>
        </w:rPr>
        <w:t xml:space="preserve">or other materials.  The </w:t>
      </w:r>
      <w:r w:rsidR="002D4108">
        <w:rPr>
          <w:rStyle w:val="ui-provider"/>
        </w:rPr>
        <w:t>i</w:t>
      </w:r>
      <w:r w:rsidRPr="00E67271">
        <w:rPr>
          <w:rStyle w:val="ui-provider"/>
        </w:rPr>
        <w:t xml:space="preserve">nvestigator </w:t>
      </w:r>
      <w:r>
        <w:rPr>
          <w:rStyle w:val="ui-provider"/>
        </w:rPr>
        <w:t>makes</w:t>
      </w:r>
      <w:r w:rsidRPr="00E67271">
        <w:rPr>
          <w:rStyle w:val="ui-provider"/>
        </w:rPr>
        <w:t xml:space="preserve"> determinations about the relevancy of evidence but is not the decision maker</w:t>
      </w:r>
      <w:r w:rsidR="002D4108">
        <w:rPr>
          <w:rStyle w:val="ui-provider"/>
        </w:rPr>
        <w:t>,</w:t>
      </w:r>
      <w:r w:rsidRPr="00E67271">
        <w:rPr>
          <w:rStyle w:val="ui-provider"/>
        </w:rPr>
        <w:t xml:space="preserve"> and the </w:t>
      </w:r>
      <w:r>
        <w:rPr>
          <w:rStyle w:val="ui-provider"/>
        </w:rPr>
        <w:t xml:space="preserve">final investigation report </w:t>
      </w:r>
      <w:r w:rsidRPr="00E67271">
        <w:rPr>
          <w:rStyle w:val="ui-provider"/>
        </w:rPr>
        <w:t>does not contain findings of fact, or a decision regarding responsibility under the Policy.  </w:t>
      </w:r>
      <w:r>
        <w:rPr>
          <w:rStyle w:val="ui-provider"/>
        </w:rPr>
        <w:t xml:space="preserve">The Resolution Officer will make final determinations </w:t>
      </w:r>
      <w:r>
        <w:rPr>
          <w:rStyle w:val="ui-provider"/>
        </w:rPr>
        <w:lastRenderedPageBreak/>
        <w:t xml:space="preserve">of the relevancy of evidence, findings of facts, and </w:t>
      </w:r>
      <w:r w:rsidR="00A84388">
        <w:rPr>
          <w:rStyle w:val="ui-provider"/>
        </w:rPr>
        <w:t>whether there has been a violation of the Policy.</w:t>
      </w:r>
    </w:p>
    <w:p w14:paraId="4278A3E9" w14:textId="77777777" w:rsidR="009557F1" w:rsidRDefault="009557F1" w:rsidP="009557F1">
      <w:pPr>
        <w:pStyle w:val="ListParagraph"/>
      </w:pPr>
      <w:r>
        <w:t xml:space="preserve">  </w:t>
      </w:r>
    </w:p>
    <w:p w14:paraId="29350633" w14:textId="2A93EE4C" w:rsidR="009557F1" w:rsidRDefault="77CDA199" w:rsidP="009557F1">
      <w:pPr>
        <w:pStyle w:val="ListParagraph"/>
        <w:numPr>
          <w:ilvl w:val="0"/>
          <w:numId w:val="2"/>
        </w:numPr>
      </w:pPr>
      <w:r>
        <w:t>W</w:t>
      </w:r>
      <w:r w:rsidR="009557F1">
        <w:t xml:space="preserve">hy </w:t>
      </w:r>
      <w:r w:rsidR="00F81764">
        <w:t>is there</w:t>
      </w:r>
      <w:r w:rsidR="009557F1">
        <w:t xml:space="preserve"> a hearing?</w:t>
      </w:r>
    </w:p>
    <w:p w14:paraId="0829903C" w14:textId="77777777" w:rsidR="00952978" w:rsidRDefault="00952978" w:rsidP="00952978">
      <w:pPr>
        <w:pStyle w:val="ListParagraph"/>
      </w:pPr>
    </w:p>
    <w:p w14:paraId="01F00405" w14:textId="77777777" w:rsidR="002D4108" w:rsidRDefault="009557F1" w:rsidP="009557F1">
      <w:pPr>
        <w:pStyle w:val="ListParagraph"/>
      </w:pPr>
      <w:r w:rsidRPr="005204A2">
        <w:t xml:space="preserve">The purpose of the hearing is to </w:t>
      </w:r>
      <w:r w:rsidR="000549B0">
        <w:t>clarify the evidence gathered throughout the investigation</w:t>
      </w:r>
      <w:r w:rsidR="00AE1AD6">
        <w:t xml:space="preserve"> process.</w:t>
      </w:r>
      <w:r w:rsidR="000549B0">
        <w:t xml:space="preserve"> </w:t>
      </w:r>
      <w:r w:rsidRPr="005204A2">
        <w:t xml:space="preserve"> </w:t>
      </w:r>
      <w:r w:rsidR="0075115A">
        <w:t>The hearing</w:t>
      </w:r>
      <w:r w:rsidR="009154BD">
        <w:t xml:space="preserve"> is </w:t>
      </w:r>
      <w:r w:rsidR="004348DE">
        <w:t xml:space="preserve">a </w:t>
      </w:r>
      <w:r w:rsidR="002D4108">
        <w:t>proceeding</w:t>
      </w:r>
      <w:r w:rsidR="004348DE">
        <w:t xml:space="preserve"> to ask c</w:t>
      </w:r>
      <w:r w:rsidR="00E132A3">
        <w:t>larify</w:t>
      </w:r>
      <w:r w:rsidR="00B14199">
        <w:t>ing question</w:t>
      </w:r>
      <w:r w:rsidR="00DF1205">
        <w:t>s</w:t>
      </w:r>
      <w:r w:rsidR="002D4108">
        <w:t xml:space="preserve"> of the claimant(s), the respondent(s</w:t>
      </w:r>
      <w:proofErr w:type="gramStart"/>
      <w:r w:rsidR="002D4108">
        <w:t>)</w:t>
      </w:r>
      <w:proofErr w:type="gramEnd"/>
      <w:r w:rsidR="002D4108">
        <w:t xml:space="preserve"> and any witnesses before a neutral Resolution Officer. This includes </w:t>
      </w:r>
      <w:r w:rsidRPr="005204A2">
        <w:t>cross-examin</w:t>
      </w:r>
      <w:r w:rsidR="002D4108">
        <w:t>ation</w:t>
      </w:r>
      <w:r>
        <w:t xml:space="preserve"> through an advisor</w:t>
      </w:r>
      <w:r w:rsidR="002D4108">
        <w:t>.</w:t>
      </w:r>
      <w:r w:rsidRPr="005204A2">
        <w:t xml:space="preserve"> </w:t>
      </w:r>
    </w:p>
    <w:p w14:paraId="74F1B398" w14:textId="5DA3F68F" w:rsidR="009557F1" w:rsidRDefault="009557F1" w:rsidP="009557F1">
      <w:pPr>
        <w:pStyle w:val="ListParagraph"/>
      </w:pPr>
    </w:p>
    <w:p w14:paraId="7783D204" w14:textId="231D924B" w:rsidR="009557F1" w:rsidRDefault="009557F1" w:rsidP="009557F1">
      <w:pPr>
        <w:pStyle w:val="ListParagraph"/>
        <w:numPr>
          <w:ilvl w:val="0"/>
          <w:numId w:val="2"/>
        </w:numPr>
      </w:pPr>
      <w:r>
        <w:t xml:space="preserve"> What happens if people don’t participate in a hearing?</w:t>
      </w:r>
    </w:p>
    <w:p w14:paraId="40820450" w14:textId="77777777" w:rsidR="002D4108" w:rsidRDefault="002D4108" w:rsidP="002D4108">
      <w:pPr>
        <w:pStyle w:val="ListParagraph"/>
      </w:pPr>
    </w:p>
    <w:p w14:paraId="247B1212" w14:textId="0970E777" w:rsidR="009557F1" w:rsidRDefault="009557F1" w:rsidP="002D4108">
      <w:pPr>
        <w:pStyle w:val="ListParagraph"/>
      </w:pPr>
      <w:r>
        <w:t xml:space="preserve">Participation in the hearing is voluntary. </w:t>
      </w:r>
      <w:r w:rsidR="002D4108">
        <w:t>The c</w:t>
      </w:r>
      <w:r>
        <w:t>laimant</w:t>
      </w:r>
      <w:r w:rsidR="002D4108">
        <w:t>(s)</w:t>
      </w:r>
      <w:r>
        <w:t>, respondent</w:t>
      </w:r>
      <w:r w:rsidR="002D4108">
        <w:t>(s)</w:t>
      </w:r>
      <w:r>
        <w:t xml:space="preserve">, and witnesses may choose to answer some, all, or none of the questions asked of them.  If a party or witness chooses not to participate, it will not prohibit the Resolution Officer from considering the evidence and </w:t>
      </w:r>
      <w:proofErr w:type="gramStart"/>
      <w:r>
        <w:t>making a decision</w:t>
      </w:r>
      <w:proofErr w:type="gramEnd"/>
      <w:r>
        <w:t xml:space="preserve">.  </w:t>
      </w:r>
      <w:r w:rsidR="008E37F9">
        <w:t xml:space="preserve">No inferences or assumptions will be drawn with regard to </w:t>
      </w:r>
      <w:proofErr w:type="gramStart"/>
      <w:r w:rsidR="008E37F9">
        <w:t xml:space="preserve">a </w:t>
      </w:r>
      <w:r w:rsidR="00A84388">
        <w:t>the</w:t>
      </w:r>
      <w:proofErr w:type="gramEnd"/>
      <w:r w:rsidR="00A84388">
        <w:t xml:space="preserve"> </w:t>
      </w:r>
      <w:r w:rsidR="008E37F9">
        <w:t xml:space="preserve">decision not to provide a statement, be interviewed, or submit to cross-examination. However, failure to answer questions at the hearing will impact the information the Resolution Officer may consider. If a </w:t>
      </w:r>
      <w:proofErr w:type="spellStart"/>
      <w:r w:rsidR="00A84388">
        <w:t>claimaint</w:t>
      </w:r>
      <w:proofErr w:type="spellEnd"/>
      <w:r w:rsidR="00A84388">
        <w:t xml:space="preserve">, respondent, and/or </w:t>
      </w:r>
      <w:r w:rsidR="008E37F9">
        <w:t xml:space="preserve">witness whose credibility has been challenged does not submit to cross-examination at the hearing, the Resolution Officer will weigh any statement of that </w:t>
      </w:r>
      <w:r w:rsidR="00A84388">
        <w:t>claimant, respondent, and/or</w:t>
      </w:r>
      <w:r w:rsidR="008E37F9">
        <w:t xml:space="preserve"> witness appropriately in reaching a determination of responsibility</w:t>
      </w:r>
      <w:r w:rsidR="00823168">
        <w:t>.</w:t>
      </w:r>
    </w:p>
    <w:p w14:paraId="7D3639B7" w14:textId="77777777" w:rsidR="009557F1" w:rsidRDefault="009557F1" w:rsidP="009557F1">
      <w:pPr>
        <w:pStyle w:val="ListParagraph"/>
      </w:pPr>
    </w:p>
    <w:p w14:paraId="245128F4" w14:textId="3D8F113C" w:rsidR="009557F1" w:rsidRDefault="009557F1" w:rsidP="009557F1">
      <w:pPr>
        <w:pStyle w:val="ListParagraph"/>
        <w:numPr>
          <w:ilvl w:val="0"/>
          <w:numId w:val="2"/>
        </w:numPr>
      </w:pPr>
      <w:r>
        <w:t>What are the timeframes for the process?</w:t>
      </w:r>
    </w:p>
    <w:p w14:paraId="3494F08E" w14:textId="77777777" w:rsidR="00952978" w:rsidRDefault="00952978" w:rsidP="00952978">
      <w:pPr>
        <w:pStyle w:val="ListParagraph"/>
      </w:pPr>
    </w:p>
    <w:p w14:paraId="589CDBB3" w14:textId="4C10312F" w:rsidR="009557F1" w:rsidRDefault="009557F1" w:rsidP="009557F1">
      <w:pPr>
        <w:pStyle w:val="ListParagraph"/>
      </w:pPr>
      <w:r>
        <w:t>The</w:t>
      </w:r>
      <w:r w:rsidR="00777BE5">
        <w:t xml:space="preserve"> RVSM and Title IX</w:t>
      </w:r>
      <w:r>
        <w:t xml:space="preserve"> </w:t>
      </w:r>
      <w:r w:rsidR="002D4108">
        <w:t>P</w:t>
      </w:r>
      <w:r>
        <w:t xml:space="preserve">olicy provides 90 days to complete the investigation, 60 days to complete the hearing, and 38 days to resolve the appeal process.  </w:t>
      </w:r>
      <w:r w:rsidR="00482998" w:rsidRPr="002774E4">
        <w:rPr>
          <w:rStyle w:val="oypena"/>
          <w:color w:val="000000"/>
        </w:rPr>
        <w:t xml:space="preserve">Each of these timeframes can be extended for good cause based on the </w:t>
      </w:r>
      <w:proofErr w:type="spellStart"/>
      <w:r w:rsidR="00482998" w:rsidRPr="002774E4">
        <w:rPr>
          <w:rStyle w:val="oypena"/>
          <w:color w:val="000000"/>
        </w:rPr>
        <w:t>the</w:t>
      </w:r>
      <w:proofErr w:type="spellEnd"/>
      <w:r w:rsidR="00482998" w:rsidRPr="002774E4">
        <w:rPr>
          <w:rStyle w:val="oypena"/>
          <w:color w:val="000000"/>
        </w:rPr>
        <w:t xml:space="preserve"> circumstance of each case</w:t>
      </w:r>
      <w:r w:rsidR="00482998">
        <w:rPr>
          <w:rStyle w:val="oypena"/>
          <w:i/>
          <w:iCs/>
          <w:color w:val="000000"/>
        </w:rPr>
        <w:t>.</w:t>
      </w:r>
    </w:p>
    <w:p w14:paraId="14A551AC" w14:textId="77777777" w:rsidR="009557F1" w:rsidRDefault="009557F1" w:rsidP="009557F1">
      <w:pPr>
        <w:pStyle w:val="ListParagraph"/>
      </w:pPr>
    </w:p>
    <w:p w14:paraId="253AFFB0" w14:textId="50DD558C" w:rsidR="009557F1" w:rsidRDefault="009557F1" w:rsidP="009557F1">
      <w:pPr>
        <w:pStyle w:val="ListParagraph"/>
        <w:numPr>
          <w:ilvl w:val="0"/>
          <w:numId w:val="2"/>
        </w:numPr>
      </w:pPr>
      <w:r>
        <w:t>When is a decision final?</w:t>
      </w:r>
    </w:p>
    <w:p w14:paraId="5627AD28" w14:textId="77777777" w:rsidR="00952978" w:rsidRDefault="00952978" w:rsidP="00952978">
      <w:pPr>
        <w:pStyle w:val="ListParagraph"/>
      </w:pPr>
    </w:p>
    <w:p w14:paraId="636FD25C" w14:textId="131A5D5C" w:rsidR="009557F1" w:rsidRDefault="001548C8" w:rsidP="009557F1">
      <w:pPr>
        <w:pStyle w:val="ListParagraph"/>
      </w:pPr>
      <w:r>
        <w:t>The decision is final when the case is full</w:t>
      </w:r>
      <w:r w:rsidR="000E0C68">
        <w:t>y</w:t>
      </w:r>
      <w:r>
        <w:t xml:space="preserve"> closed, which includes the appeal process. </w:t>
      </w:r>
      <w:r w:rsidR="009557F1">
        <w:t xml:space="preserve">Following the hearing, the Resolution Officer will issue a written decision and the </w:t>
      </w:r>
      <w:r w:rsidR="00EB46CF">
        <w:t xml:space="preserve">claimant(s) and </w:t>
      </w:r>
      <w:r w:rsidR="002D4108">
        <w:t xml:space="preserve">respondent(s) </w:t>
      </w:r>
      <w:r w:rsidR="00E73061">
        <w:t xml:space="preserve">will </w:t>
      </w:r>
      <w:r w:rsidR="009557F1">
        <w:t xml:space="preserve">have the opportunity to appeal.  </w:t>
      </w:r>
      <w:r w:rsidR="003E4CE0">
        <w:t>If an appeal is filed, the decision is consi</w:t>
      </w:r>
      <w:r w:rsidR="002D4108">
        <w:t>d</w:t>
      </w:r>
      <w:r w:rsidR="003E4CE0">
        <w:t>ered final at the conclusion of the appeal process. If no appeal is filed, the decision is considered final at the close of the appeal window</w:t>
      </w:r>
      <w:r w:rsidR="005370E1">
        <w:t xml:space="preserve"> as mentioned in the timeframes section of this FAQ. </w:t>
      </w:r>
    </w:p>
    <w:p w14:paraId="17AB40DD" w14:textId="77777777" w:rsidR="001226AC" w:rsidRDefault="001226AC" w:rsidP="009557F1">
      <w:pPr>
        <w:pStyle w:val="ListParagraph"/>
      </w:pPr>
    </w:p>
    <w:p w14:paraId="20F596DF" w14:textId="77777777" w:rsidR="001226AC" w:rsidRDefault="001226AC" w:rsidP="001226AC">
      <w:pPr>
        <w:pStyle w:val="ListParagraph"/>
      </w:pPr>
    </w:p>
    <w:p w14:paraId="53E601F1" w14:textId="77777777" w:rsidR="009557F1" w:rsidRDefault="009557F1" w:rsidP="009557F1">
      <w:pPr>
        <w:pStyle w:val="ListParagraph"/>
      </w:pPr>
    </w:p>
    <w:p w14:paraId="5B86ADDF" w14:textId="77777777" w:rsidR="009557F1" w:rsidRDefault="009557F1" w:rsidP="009557F1">
      <w:pPr>
        <w:pStyle w:val="ListParagraph"/>
      </w:pPr>
    </w:p>
    <w:p w14:paraId="75F963EE" w14:textId="77777777" w:rsidR="008F7BF4" w:rsidRDefault="008F7BF4"/>
    <w:sectPr w:rsidR="008F7BF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80FD" w14:textId="77777777" w:rsidR="008B2B81" w:rsidRDefault="008B2B81" w:rsidP="008B2B81">
      <w:pPr>
        <w:spacing w:after="0" w:line="240" w:lineRule="auto"/>
      </w:pPr>
      <w:r>
        <w:separator/>
      </w:r>
    </w:p>
  </w:endnote>
  <w:endnote w:type="continuationSeparator" w:id="0">
    <w:p w14:paraId="5CFFD0AC" w14:textId="77777777" w:rsidR="008B2B81" w:rsidRDefault="008B2B81" w:rsidP="008B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1856522"/>
      <w:docPartObj>
        <w:docPartGallery w:val="Page Numbers (Bottom of Page)"/>
        <w:docPartUnique/>
      </w:docPartObj>
    </w:sdtPr>
    <w:sdtContent>
      <w:p w14:paraId="061C3FB2" w14:textId="78FD05FD" w:rsidR="008B2B81" w:rsidRDefault="008B2B81" w:rsidP="00555C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A65CA" w14:textId="77777777" w:rsidR="008B2B81" w:rsidRDefault="008B2B81" w:rsidP="008B2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4891234"/>
      <w:docPartObj>
        <w:docPartGallery w:val="Page Numbers (Bottom of Page)"/>
        <w:docPartUnique/>
      </w:docPartObj>
    </w:sdtPr>
    <w:sdtContent>
      <w:p w14:paraId="5FC7F519" w14:textId="315689E5" w:rsidR="008B2B81" w:rsidRDefault="008B2B81" w:rsidP="00555C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CF9D87" w14:textId="77777777" w:rsidR="008B2B81" w:rsidRDefault="008B2B81" w:rsidP="008B2B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0436" w14:textId="77777777" w:rsidR="008B2B81" w:rsidRDefault="008B2B81" w:rsidP="008B2B81">
      <w:pPr>
        <w:spacing w:after="0" w:line="240" w:lineRule="auto"/>
      </w:pPr>
      <w:r>
        <w:separator/>
      </w:r>
    </w:p>
  </w:footnote>
  <w:footnote w:type="continuationSeparator" w:id="0">
    <w:p w14:paraId="0DC7BEBE" w14:textId="77777777" w:rsidR="008B2B81" w:rsidRDefault="008B2B81" w:rsidP="008B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4017"/>
    <w:multiLevelType w:val="hybridMultilevel"/>
    <w:tmpl w:val="94D43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9F231"/>
    <w:multiLevelType w:val="hybridMultilevel"/>
    <w:tmpl w:val="FFFFFFFF"/>
    <w:lvl w:ilvl="0" w:tplc="3068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EF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125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7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CF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A8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43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EE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3367">
    <w:abstractNumId w:val="1"/>
  </w:num>
  <w:num w:numId="2" w16cid:durableId="203692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F1"/>
    <w:rsid w:val="00051605"/>
    <w:rsid w:val="000549B0"/>
    <w:rsid w:val="00097025"/>
    <w:rsid w:val="000E0C68"/>
    <w:rsid w:val="000F3FE2"/>
    <w:rsid w:val="001226AC"/>
    <w:rsid w:val="001279AF"/>
    <w:rsid w:val="001548C8"/>
    <w:rsid w:val="001775E3"/>
    <w:rsid w:val="001D777D"/>
    <w:rsid w:val="00226ADD"/>
    <w:rsid w:val="002774E4"/>
    <w:rsid w:val="00291CC0"/>
    <w:rsid w:val="002D4108"/>
    <w:rsid w:val="002D4FF7"/>
    <w:rsid w:val="003716CF"/>
    <w:rsid w:val="00382702"/>
    <w:rsid w:val="003B7DA3"/>
    <w:rsid w:val="003E4CE0"/>
    <w:rsid w:val="004348DE"/>
    <w:rsid w:val="00441F80"/>
    <w:rsid w:val="00482998"/>
    <w:rsid w:val="004A5643"/>
    <w:rsid w:val="004B361A"/>
    <w:rsid w:val="004C238C"/>
    <w:rsid w:val="00524F85"/>
    <w:rsid w:val="005370E1"/>
    <w:rsid w:val="005614E0"/>
    <w:rsid w:val="005756E2"/>
    <w:rsid w:val="005817BE"/>
    <w:rsid w:val="00587B9D"/>
    <w:rsid w:val="00597C9B"/>
    <w:rsid w:val="005C595A"/>
    <w:rsid w:val="005D3481"/>
    <w:rsid w:val="006152E5"/>
    <w:rsid w:val="006715F4"/>
    <w:rsid w:val="00692F94"/>
    <w:rsid w:val="00725507"/>
    <w:rsid w:val="007467F9"/>
    <w:rsid w:val="0075115A"/>
    <w:rsid w:val="007521C9"/>
    <w:rsid w:val="00774994"/>
    <w:rsid w:val="0077608E"/>
    <w:rsid w:val="00777BE5"/>
    <w:rsid w:val="007A00D3"/>
    <w:rsid w:val="007E4B24"/>
    <w:rsid w:val="00823168"/>
    <w:rsid w:val="00831C8B"/>
    <w:rsid w:val="00842AF4"/>
    <w:rsid w:val="0084615D"/>
    <w:rsid w:val="00866FDF"/>
    <w:rsid w:val="00892749"/>
    <w:rsid w:val="008A02F2"/>
    <w:rsid w:val="008A5929"/>
    <w:rsid w:val="008B2B81"/>
    <w:rsid w:val="008E37F9"/>
    <w:rsid w:val="008F7BF4"/>
    <w:rsid w:val="009154BD"/>
    <w:rsid w:val="00952978"/>
    <w:rsid w:val="009557F1"/>
    <w:rsid w:val="00966A81"/>
    <w:rsid w:val="00967FFA"/>
    <w:rsid w:val="009840B8"/>
    <w:rsid w:val="00991870"/>
    <w:rsid w:val="009920BD"/>
    <w:rsid w:val="009B216D"/>
    <w:rsid w:val="009B5221"/>
    <w:rsid w:val="009C77BF"/>
    <w:rsid w:val="00A02BE9"/>
    <w:rsid w:val="00A134EE"/>
    <w:rsid w:val="00A57CFC"/>
    <w:rsid w:val="00A80988"/>
    <w:rsid w:val="00A84388"/>
    <w:rsid w:val="00A93100"/>
    <w:rsid w:val="00AE1AD6"/>
    <w:rsid w:val="00AE46A8"/>
    <w:rsid w:val="00B0227B"/>
    <w:rsid w:val="00B14199"/>
    <w:rsid w:val="00B65B65"/>
    <w:rsid w:val="00B67561"/>
    <w:rsid w:val="00B704E5"/>
    <w:rsid w:val="00B8436B"/>
    <w:rsid w:val="00B86721"/>
    <w:rsid w:val="00B91810"/>
    <w:rsid w:val="00B91E3D"/>
    <w:rsid w:val="00C06327"/>
    <w:rsid w:val="00C66438"/>
    <w:rsid w:val="00CA2316"/>
    <w:rsid w:val="00CB4077"/>
    <w:rsid w:val="00D10D31"/>
    <w:rsid w:val="00D20A99"/>
    <w:rsid w:val="00DB14CB"/>
    <w:rsid w:val="00DB5121"/>
    <w:rsid w:val="00DC04A4"/>
    <w:rsid w:val="00DC736F"/>
    <w:rsid w:val="00DC7E15"/>
    <w:rsid w:val="00DF1205"/>
    <w:rsid w:val="00DF1465"/>
    <w:rsid w:val="00E132A3"/>
    <w:rsid w:val="00E2161E"/>
    <w:rsid w:val="00E485E8"/>
    <w:rsid w:val="00E62B65"/>
    <w:rsid w:val="00E73061"/>
    <w:rsid w:val="00E82F78"/>
    <w:rsid w:val="00EB46CF"/>
    <w:rsid w:val="00EC56E8"/>
    <w:rsid w:val="00EF523D"/>
    <w:rsid w:val="00F61159"/>
    <w:rsid w:val="00F81764"/>
    <w:rsid w:val="00FA355E"/>
    <w:rsid w:val="00FF48C5"/>
    <w:rsid w:val="00FF644A"/>
    <w:rsid w:val="0268DE4B"/>
    <w:rsid w:val="05BA83CF"/>
    <w:rsid w:val="0B1375F6"/>
    <w:rsid w:val="0E993F6A"/>
    <w:rsid w:val="10057A88"/>
    <w:rsid w:val="1B8E2B55"/>
    <w:rsid w:val="1C9FD0EA"/>
    <w:rsid w:val="1DE50871"/>
    <w:rsid w:val="24661DB6"/>
    <w:rsid w:val="32B9C960"/>
    <w:rsid w:val="3D3D42B9"/>
    <w:rsid w:val="3D51F2DB"/>
    <w:rsid w:val="45A17181"/>
    <w:rsid w:val="478657AC"/>
    <w:rsid w:val="4E086B51"/>
    <w:rsid w:val="4E192FC2"/>
    <w:rsid w:val="5327167B"/>
    <w:rsid w:val="623F45A0"/>
    <w:rsid w:val="75139C50"/>
    <w:rsid w:val="77CDA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028E"/>
  <w15:chartTrackingRefBased/>
  <w15:docId w15:val="{0D4339B6-105C-422F-9664-D3252BD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F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F1"/>
    <w:pPr>
      <w:ind w:left="720"/>
      <w:contextualSpacing/>
    </w:pPr>
  </w:style>
  <w:style w:type="character" w:customStyle="1" w:styleId="ui-provider">
    <w:name w:val="ui-provider"/>
    <w:basedOn w:val="DefaultParagraphFont"/>
    <w:rsid w:val="009557F1"/>
  </w:style>
  <w:style w:type="character" w:styleId="CommentReference">
    <w:name w:val="annotation reference"/>
    <w:basedOn w:val="DefaultParagraphFont"/>
    <w:uiPriority w:val="99"/>
    <w:semiHidden/>
    <w:unhideWhenUsed/>
    <w:rsid w:val="0095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7F1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6115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F9"/>
    <w:rPr>
      <w:b/>
      <w:bCs/>
      <w:kern w:val="0"/>
      <w:sz w:val="20"/>
      <w:szCs w:val="20"/>
      <w14:ligatures w14:val="none"/>
    </w:rPr>
  </w:style>
  <w:style w:type="character" w:customStyle="1" w:styleId="oypena">
    <w:name w:val="oypena"/>
    <w:basedOn w:val="DefaultParagraphFont"/>
    <w:rsid w:val="00482998"/>
  </w:style>
  <w:style w:type="paragraph" w:customStyle="1" w:styleId="cvgsua">
    <w:name w:val="cvgsua"/>
    <w:basedOn w:val="Normal"/>
    <w:rsid w:val="007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40B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8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81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B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Jr, Tom</dc:creator>
  <cp:keywords/>
  <dc:description/>
  <cp:lastModifiedBy>Chapman, Christian</cp:lastModifiedBy>
  <cp:revision>2</cp:revision>
  <dcterms:created xsi:type="dcterms:W3CDTF">2023-09-18T13:09:00Z</dcterms:created>
  <dcterms:modified xsi:type="dcterms:W3CDTF">2023-09-18T13:09:00Z</dcterms:modified>
</cp:coreProperties>
</file>