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EA1C09" w:rsidP="7EF1B1C7" w:rsidRDefault="7C8E1ECC" w14:paraId="3C9B6A4F" w14:textId="29A05BC4">
      <w:pPr>
        <w:pStyle w:val="Heading1"/>
        <w:jc w:val="center"/>
        <w:rPr>
          <w:rFonts w:asciiTheme="minorHAnsi" w:hAnsiTheme="minorHAnsi" w:eastAsiaTheme="minorEastAsia" w:cstheme="minorBidi"/>
        </w:rPr>
      </w:pPr>
      <w:r w:rsidRPr="7EF1B1C7">
        <w:rPr>
          <w:rFonts w:asciiTheme="minorHAnsi" w:hAnsiTheme="minorHAnsi" w:eastAsiaTheme="minorEastAsia" w:cstheme="minorBidi"/>
        </w:rPr>
        <w:t>President’s Advisory Committee on Disability Issues 2025-26 Annual Report</w:t>
      </w:r>
    </w:p>
    <w:p w:rsidR="00EA1C09" w:rsidP="7EF1B1C7" w:rsidRDefault="65C1A958" w14:paraId="32E39756" w14:textId="2E615E67">
      <w:pPr>
        <w:pStyle w:val="Heading2"/>
        <w:rPr>
          <w:rFonts w:asciiTheme="minorHAnsi" w:hAnsiTheme="minorHAnsi" w:eastAsiaTheme="minorEastAsia" w:cstheme="minorBidi"/>
        </w:rPr>
      </w:pPr>
      <w:r w:rsidRPr="7EF1B1C7">
        <w:rPr>
          <w:rFonts w:asciiTheme="minorHAnsi" w:hAnsiTheme="minorHAnsi" w:eastAsiaTheme="minorEastAsia" w:cstheme="minorBidi"/>
        </w:rPr>
        <w:t>Executive Summary</w:t>
      </w:r>
    </w:p>
    <w:p w:rsidR="622F6C89" w:rsidP="7EF1B1C7" w:rsidRDefault="622F6C89" w14:paraId="55BA5AC7" w14:textId="4E2B0B33">
      <w:pPr>
        <w:pStyle w:val="Heading3"/>
      </w:pPr>
      <w:r>
        <w:t>Introduction</w:t>
      </w:r>
    </w:p>
    <w:p w:rsidR="00FA2002" w:rsidP="34A2C28A" w:rsidRDefault="6EE97A3F" w14:paraId="160C08A7" w14:textId="50BA201D">
      <w:pPr>
        <w:spacing w:after="0" w:line="300" w:lineRule="auto"/>
        <w:rPr>
          <w:rFonts w:eastAsiaTheme="minorEastAsia"/>
          <w:sz w:val="22"/>
          <w:szCs w:val="22"/>
        </w:rPr>
      </w:pPr>
      <w:r w:rsidRPr="7EF1B1C7">
        <w:rPr>
          <w:rFonts w:eastAsiaTheme="minorEastAsia"/>
          <w:sz w:val="22"/>
          <w:szCs w:val="22"/>
        </w:rPr>
        <w:t>In 2025–</w:t>
      </w:r>
      <w:r w:rsidRPr="7EF1B1C7" w:rsidR="2D448361">
        <w:rPr>
          <w:rFonts w:eastAsiaTheme="minorEastAsia"/>
          <w:sz w:val="22"/>
          <w:szCs w:val="22"/>
        </w:rPr>
        <w:t>20</w:t>
      </w:r>
      <w:r w:rsidRPr="7EF1B1C7">
        <w:rPr>
          <w:rFonts w:eastAsiaTheme="minorEastAsia"/>
          <w:sz w:val="22"/>
          <w:szCs w:val="22"/>
        </w:rPr>
        <w:t>26, PACDI focused on strengthening MSU’s disability and accessibility infrastructure through three core recommendations: establishing a centralized funding model for accommodations; creating a university</w:t>
      </w:r>
      <w:r w:rsidR="00791A9A">
        <w:rPr>
          <w:rFonts w:eastAsiaTheme="minorEastAsia"/>
          <w:sz w:val="22"/>
          <w:szCs w:val="22"/>
        </w:rPr>
        <w:t>-</w:t>
      </w:r>
      <w:r w:rsidRPr="7EF1B1C7">
        <w:rPr>
          <w:rFonts w:eastAsiaTheme="minorEastAsia"/>
          <w:sz w:val="22"/>
          <w:szCs w:val="22"/>
        </w:rPr>
        <w:t xml:space="preserve">wide </w:t>
      </w:r>
      <w:r w:rsidRPr="7EF1B1C7" w:rsidR="776D8BA5">
        <w:rPr>
          <w:rFonts w:eastAsiaTheme="minorEastAsia"/>
          <w:sz w:val="22"/>
          <w:szCs w:val="22"/>
        </w:rPr>
        <w:t>d</w:t>
      </w:r>
      <w:r w:rsidRPr="7EF1B1C7">
        <w:rPr>
          <w:rFonts w:eastAsiaTheme="minorEastAsia"/>
          <w:sz w:val="22"/>
          <w:szCs w:val="22"/>
        </w:rPr>
        <w:t xml:space="preserve">isability </w:t>
      </w:r>
      <w:r w:rsidRPr="7EF1B1C7" w:rsidR="62785529">
        <w:rPr>
          <w:rFonts w:eastAsiaTheme="minorEastAsia"/>
          <w:sz w:val="22"/>
          <w:szCs w:val="22"/>
        </w:rPr>
        <w:t>and a</w:t>
      </w:r>
      <w:r w:rsidRPr="7EF1B1C7">
        <w:rPr>
          <w:rFonts w:eastAsiaTheme="minorEastAsia"/>
          <w:sz w:val="22"/>
          <w:szCs w:val="22"/>
        </w:rPr>
        <w:t xml:space="preserve">ccessibility </w:t>
      </w:r>
      <w:r w:rsidRPr="7EF1B1C7" w:rsidR="4E382DC9">
        <w:rPr>
          <w:rFonts w:eastAsiaTheme="minorEastAsia"/>
          <w:sz w:val="22"/>
          <w:szCs w:val="22"/>
        </w:rPr>
        <w:t>i</w:t>
      </w:r>
      <w:r w:rsidRPr="7EF1B1C7">
        <w:rPr>
          <w:rFonts w:eastAsiaTheme="minorEastAsia"/>
          <w:sz w:val="22"/>
          <w:szCs w:val="22"/>
        </w:rPr>
        <w:t xml:space="preserve">nformation </w:t>
      </w:r>
      <w:proofErr w:type="gramStart"/>
      <w:r w:rsidRPr="7EF1B1C7" w:rsidR="5B46274B">
        <w:rPr>
          <w:rFonts w:eastAsiaTheme="minorEastAsia"/>
          <w:sz w:val="22"/>
          <w:szCs w:val="22"/>
        </w:rPr>
        <w:t>w</w:t>
      </w:r>
      <w:r w:rsidRPr="7EF1B1C7">
        <w:rPr>
          <w:rFonts w:eastAsiaTheme="minorEastAsia"/>
          <w:sz w:val="22"/>
          <w:szCs w:val="22"/>
        </w:rPr>
        <w:t>ebsite</w:t>
      </w:r>
      <w:r w:rsidR="00DD7530">
        <w:rPr>
          <w:rFonts w:eastAsiaTheme="minorEastAsia"/>
          <w:sz w:val="22"/>
          <w:szCs w:val="22"/>
        </w:rPr>
        <w:t>,</w:t>
      </w:r>
      <w:r w:rsidRPr="7EF1B1C7">
        <w:rPr>
          <w:rFonts w:eastAsiaTheme="minorEastAsia"/>
          <w:sz w:val="22"/>
          <w:szCs w:val="22"/>
        </w:rPr>
        <w:t xml:space="preserve"> and</w:t>
      </w:r>
      <w:proofErr w:type="gramEnd"/>
      <w:r w:rsidRPr="7EF1B1C7">
        <w:rPr>
          <w:rFonts w:eastAsiaTheme="minorEastAsia"/>
          <w:sz w:val="22"/>
          <w:szCs w:val="22"/>
        </w:rPr>
        <w:t xml:space="preserve"> building coordinated leadership to support autistic and neurodivergent students. Each recommendation addresses longstanding structural gaps caused by decentralization, inconsistent practices, limited financial visibility, and growing campus needs. Together, these proposals advance MSU’s commitments to</w:t>
      </w:r>
      <w:r w:rsidRPr="7EF1B1C7" w:rsidR="277D6DA6">
        <w:rPr>
          <w:rFonts w:eastAsiaTheme="minorEastAsia"/>
          <w:sz w:val="22"/>
          <w:szCs w:val="22"/>
        </w:rPr>
        <w:t xml:space="preserve"> access</w:t>
      </w:r>
      <w:r w:rsidRPr="7EF1B1C7">
        <w:rPr>
          <w:rFonts w:eastAsiaTheme="minorEastAsia"/>
          <w:sz w:val="22"/>
          <w:szCs w:val="22"/>
        </w:rPr>
        <w:t>, inclusion, institutional effectiveness, and student success, while positioning the university as a national leader in disability and neurodiversity inclusion.</w:t>
      </w:r>
    </w:p>
    <w:p w:rsidR="00FA2002" w:rsidP="7EF1B1C7" w:rsidRDefault="3A157012" w14:paraId="3C4A5CA8" w14:textId="2708B952">
      <w:pPr>
        <w:pStyle w:val="Heading3"/>
      </w:pPr>
      <w:r>
        <w:t>PACDI’s 2025-26 Recommendations</w:t>
      </w:r>
    </w:p>
    <w:p w:rsidRPr="004B1FC1" w:rsidR="00FA2002" w:rsidP="7EF1B1C7" w:rsidRDefault="3A157012" w14:paraId="09D4AF63" w14:textId="2F672410">
      <w:pPr>
        <w:pStyle w:val="ListParagraph"/>
        <w:numPr>
          <w:ilvl w:val="0"/>
          <w:numId w:val="2"/>
        </w:numPr>
        <w:rPr>
          <w:rFonts w:eastAsiaTheme="minorEastAsia"/>
          <w:sz w:val="22"/>
          <w:szCs w:val="22"/>
        </w:rPr>
      </w:pPr>
      <w:r w:rsidRPr="004B1FC1">
        <w:rPr>
          <w:sz w:val="22"/>
          <w:szCs w:val="22"/>
        </w:rPr>
        <w:t>Transition MSU to a Centralized Funding Model for Disability and Accessibility Accommodations:</w:t>
      </w:r>
    </w:p>
    <w:p w:rsidRPr="004B1FC1" w:rsidR="00FA2002" w:rsidP="7EF1B1C7" w:rsidRDefault="3A157012" w14:paraId="16BBAE27" w14:textId="0F6ED1C7">
      <w:pPr>
        <w:pStyle w:val="ListParagraph"/>
        <w:numPr>
          <w:ilvl w:val="1"/>
          <w:numId w:val="2"/>
        </w:numPr>
        <w:rPr>
          <w:rFonts w:eastAsiaTheme="minorEastAsia"/>
          <w:sz w:val="22"/>
          <w:szCs w:val="22"/>
        </w:rPr>
      </w:pPr>
      <w:r w:rsidRPr="004B1FC1">
        <w:rPr>
          <w:rFonts w:eastAsiaTheme="minorEastAsia"/>
          <w:sz w:val="22"/>
          <w:szCs w:val="22"/>
        </w:rPr>
        <w:t>Establish a university-wide budget Object Code for disability and accessibility accommodations</w:t>
      </w:r>
      <w:r w:rsidR="00791A9A">
        <w:rPr>
          <w:rFonts w:eastAsiaTheme="minorEastAsia"/>
          <w:sz w:val="22"/>
          <w:szCs w:val="22"/>
        </w:rPr>
        <w:t>.</w:t>
      </w:r>
    </w:p>
    <w:p w:rsidRPr="004B1FC1" w:rsidR="00FA2002" w:rsidP="7EF1B1C7" w:rsidRDefault="3A157012" w14:paraId="6C4066AB" w14:textId="29727F95">
      <w:pPr>
        <w:pStyle w:val="ListParagraph"/>
        <w:numPr>
          <w:ilvl w:val="1"/>
          <w:numId w:val="2"/>
        </w:numPr>
        <w:rPr>
          <w:rFonts w:eastAsiaTheme="minorEastAsia"/>
          <w:sz w:val="22"/>
          <w:szCs w:val="22"/>
        </w:rPr>
      </w:pPr>
      <w:r w:rsidRPr="004B1FC1">
        <w:rPr>
          <w:rFonts w:eastAsiaTheme="minorEastAsia"/>
          <w:sz w:val="22"/>
          <w:szCs w:val="22"/>
        </w:rPr>
        <w:t>Transition to a fully Centralized Funding Model as part of ongoing budget discussions and inclusion in MSU Budget Model Redesign project</w:t>
      </w:r>
      <w:r w:rsidR="00791A9A">
        <w:rPr>
          <w:rFonts w:eastAsiaTheme="minorEastAsia"/>
          <w:sz w:val="22"/>
          <w:szCs w:val="22"/>
        </w:rPr>
        <w:t>.</w:t>
      </w:r>
    </w:p>
    <w:p w:rsidRPr="004B1FC1" w:rsidR="00FA2002" w:rsidP="7EF1B1C7" w:rsidRDefault="3A157012" w14:paraId="1F74F605" w14:textId="4AFBEED3">
      <w:pPr>
        <w:pStyle w:val="ListParagraph"/>
        <w:numPr>
          <w:ilvl w:val="0"/>
          <w:numId w:val="2"/>
        </w:numPr>
        <w:rPr>
          <w:rFonts w:eastAsiaTheme="minorEastAsia"/>
          <w:sz w:val="22"/>
          <w:szCs w:val="22"/>
        </w:rPr>
      </w:pPr>
      <w:r w:rsidRPr="004B1FC1">
        <w:rPr>
          <w:rFonts w:eastAsiaTheme="minorEastAsia"/>
          <w:sz w:val="22"/>
          <w:szCs w:val="22"/>
        </w:rPr>
        <w:t>Development of a Centralized Disability and Accessibility Information Website</w:t>
      </w:r>
    </w:p>
    <w:p w:rsidRPr="004B1FC1" w:rsidR="00FA2002" w:rsidP="7EF1B1C7" w:rsidRDefault="3A157012" w14:paraId="25056B2E" w14:textId="7C270B1F">
      <w:pPr>
        <w:pStyle w:val="ListParagraph"/>
        <w:numPr>
          <w:ilvl w:val="0"/>
          <w:numId w:val="2"/>
        </w:numPr>
        <w:rPr>
          <w:sz w:val="22"/>
          <w:szCs w:val="22"/>
        </w:rPr>
      </w:pPr>
      <w:r w:rsidRPr="004B1FC1">
        <w:rPr>
          <w:sz w:val="22"/>
          <w:szCs w:val="22"/>
        </w:rPr>
        <w:t>Coordinated Leadership for Supporting Autistic and Neurodivergent Students at Michigan State University</w:t>
      </w:r>
    </w:p>
    <w:p w:rsidR="00FA2002" w:rsidP="7EF1B1C7" w:rsidRDefault="3A157012" w14:paraId="68F3594F" w14:textId="009040F6">
      <w:pPr>
        <w:pStyle w:val="Heading3"/>
      </w:pPr>
      <w:r>
        <w:t>PACDI’s Support for Initiatives of Campus Community</w:t>
      </w:r>
    </w:p>
    <w:p w:rsidRPr="004B1FC1" w:rsidR="00FA2002" w:rsidP="7EF1B1C7" w:rsidRDefault="69CF3BFB" w14:paraId="5E5ABD81" w14:textId="4E56FF9E">
      <w:pPr>
        <w:rPr>
          <w:rFonts w:eastAsiaTheme="minorEastAsia"/>
          <w:sz w:val="22"/>
          <w:szCs w:val="22"/>
        </w:rPr>
      </w:pPr>
      <w:r w:rsidRPr="004B1FC1">
        <w:rPr>
          <w:rFonts w:eastAsiaTheme="minorEastAsia"/>
          <w:sz w:val="22"/>
          <w:szCs w:val="22"/>
        </w:rPr>
        <w:t>PACDI supports the following initiatives proposed:</w:t>
      </w:r>
    </w:p>
    <w:p w:rsidRPr="004B1FC1" w:rsidR="00FA2002" w:rsidP="7EF1B1C7" w:rsidRDefault="69CF3BFB" w14:paraId="74E973D0" w14:textId="16F7C368">
      <w:pPr>
        <w:pStyle w:val="ListParagraph"/>
        <w:numPr>
          <w:ilvl w:val="0"/>
          <w:numId w:val="1"/>
        </w:numPr>
        <w:rPr>
          <w:rFonts w:eastAsiaTheme="minorEastAsia"/>
          <w:sz w:val="22"/>
          <w:szCs w:val="22"/>
        </w:rPr>
      </w:pPr>
      <w:r w:rsidRPr="004B1FC1">
        <w:rPr>
          <w:rFonts w:eastAsiaTheme="minorEastAsia"/>
          <w:sz w:val="22"/>
          <w:szCs w:val="22"/>
        </w:rPr>
        <w:t>Reinstitute cross-unit Accessibility Review Committee for Physical Accessibility Initiatives</w:t>
      </w:r>
    </w:p>
    <w:p w:rsidR="00FA2002" w:rsidP="7EF1B1C7" w:rsidRDefault="69CF3BFB" w14:paraId="34861D38" w14:textId="4AB0CC27">
      <w:pPr>
        <w:pStyle w:val="Heading3"/>
      </w:pPr>
      <w:r>
        <w:t>Progress Toward Completion of Prior Years Recommendations</w:t>
      </w:r>
    </w:p>
    <w:p w:rsidR="00FA2002" w:rsidP="7EF1B1C7" w:rsidRDefault="0150C65A" w14:paraId="56EE09E2" w14:textId="112F3ED1">
      <w:pPr>
        <w:spacing w:after="0" w:line="300" w:lineRule="auto"/>
        <w:rPr>
          <w:rFonts w:eastAsiaTheme="minorEastAsia"/>
          <w:sz w:val="22"/>
          <w:szCs w:val="22"/>
        </w:rPr>
      </w:pPr>
      <w:r w:rsidRPr="7EF1B1C7">
        <w:rPr>
          <w:rFonts w:eastAsiaTheme="minorEastAsia"/>
          <w:sz w:val="22"/>
          <w:szCs w:val="22"/>
        </w:rPr>
        <w:t xml:space="preserve">During the 2025–26 academic year, PACDI made </w:t>
      </w:r>
      <w:proofErr w:type="gramStart"/>
      <w:r w:rsidRPr="7EF1B1C7">
        <w:rPr>
          <w:rFonts w:eastAsiaTheme="minorEastAsia"/>
          <w:sz w:val="22"/>
          <w:szCs w:val="22"/>
        </w:rPr>
        <w:t>several</w:t>
      </w:r>
      <w:proofErr w:type="gramEnd"/>
      <w:r w:rsidRPr="7EF1B1C7">
        <w:rPr>
          <w:rFonts w:eastAsiaTheme="minorEastAsia"/>
          <w:sz w:val="22"/>
          <w:szCs w:val="22"/>
        </w:rPr>
        <w:t xml:space="preserve"> recommendations, including updates to the University’s Modified Operations Policy, implementation of mandatory training for faculty and staff, exploration of opportunities to support the Adaptive Sports and Recreation Club, and identifying or reallocating spaces and potential funding sources to create sensory</w:t>
      </w:r>
      <w:r w:rsidR="0047248D">
        <w:rPr>
          <w:rFonts w:eastAsiaTheme="minorEastAsia"/>
          <w:sz w:val="22"/>
          <w:szCs w:val="22"/>
        </w:rPr>
        <w:t>-</w:t>
      </w:r>
      <w:r w:rsidRPr="7EF1B1C7">
        <w:rPr>
          <w:rFonts w:eastAsiaTheme="minorEastAsia"/>
          <w:sz w:val="22"/>
          <w:szCs w:val="22"/>
        </w:rPr>
        <w:t xml:space="preserve">friendly </w:t>
      </w:r>
      <w:r w:rsidRPr="7EF1B1C7">
        <w:rPr>
          <w:rFonts w:eastAsiaTheme="minorEastAsia"/>
          <w:sz w:val="22"/>
          <w:szCs w:val="22"/>
        </w:rPr>
        <w:t xml:space="preserve">environments. </w:t>
      </w:r>
      <w:proofErr w:type="gramStart"/>
      <w:r w:rsidRPr="7EF1B1C7">
        <w:rPr>
          <w:rFonts w:eastAsiaTheme="minorEastAsia"/>
          <w:sz w:val="22"/>
          <w:szCs w:val="22"/>
        </w:rPr>
        <w:t>Most of</w:t>
      </w:r>
      <w:proofErr w:type="gramEnd"/>
      <w:r w:rsidRPr="7EF1B1C7">
        <w:rPr>
          <w:rFonts w:eastAsiaTheme="minorEastAsia"/>
          <w:sz w:val="22"/>
          <w:szCs w:val="22"/>
        </w:rPr>
        <w:t xml:space="preserve"> these recommendations are either in progress or completed, as outlined below.</w:t>
      </w:r>
    </w:p>
    <w:p w:rsidR="00FA2002" w:rsidP="7EF1B1C7" w:rsidRDefault="0150C65A" w14:paraId="7B6400A9" w14:textId="0EE3A5CE">
      <w:pPr>
        <w:pStyle w:val="Heading3"/>
        <w:rPr>
          <w:rFonts w:eastAsiaTheme="minorEastAsia" w:cstheme="minorBidi"/>
          <w:sz w:val="22"/>
          <w:szCs w:val="22"/>
        </w:rPr>
      </w:pPr>
      <w:r w:rsidRPr="7EF1B1C7">
        <w:t>Requested Support from the President</w:t>
      </w:r>
    </w:p>
    <w:p w:rsidR="00FA2002" w:rsidP="7EF1B1C7" w:rsidRDefault="0150C65A" w14:paraId="11A1DF4B" w14:textId="343BC612">
      <w:pPr>
        <w:spacing w:after="0" w:line="300" w:lineRule="auto"/>
        <w:rPr>
          <w:rFonts w:eastAsiaTheme="minorEastAsia"/>
          <w:sz w:val="22"/>
          <w:szCs w:val="22"/>
        </w:rPr>
      </w:pPr>
      <w:r w:rsidRPr="7EF1B1C7">
        <w:rPr>
          <w:rFonts w:eastAsiaTheme="minorEastAsia"/>
          <w:sz w:val="22"/>
          <w:szCs w:val="22"/>
        </w:rPr>
        <w:t>PACDI requests that the President provide his support for:</w:t>
      </w:r>
    </w:p>
    <w:p w:rsidRPr="004B1FC1" w:rsidR="00FA2002" w:rsidP="1EB4591C" w:rsidRDefault="0150C65A" w14:paraId="50C358EF" w14:textId="04A53BC5">
      <w:pPr>
        <w:pStyle w:val="ListParagraph"/>
        <w:numPr>
          <w:ilvl w:val="0"/>
          <w:numId w:val="65"/>
        </w:numPr>
        <w:rPr>
          <w:rFonts w:eastAsia="游ゴシック" w:eastAsiaTheme="minorEastAsia"/>
          <w:sz w:val="22"/>
          <w:szCs w:val="22"/>
        </w:rPr>
      </w:pPr>
      <w:r w:rsidRPr="1EB4591C" w:rsidR="0150C65A">
        <w:rPr>
          <w:sz w:val="22"/>
          <w:szCs w:val="22"/>
        </w:rPr>
        <w:t>Transition MSU to a Centralized Funding Model for Disability and Accessibility Accommodations:</w:t>
      </w:r>
    </w:p>
    <w:p w:rsidRPr="004B1FC1" w:rsidR="00FA2002" w:rsidP="7EF1B1C7" w:rsidRDefault="0150C65A" w14:paraId="2594B9F1" w14:textId="423BD7DC">
      <w:pPr>
        <w:pStyle w:val="ListParagraph"/>
        <w:numPr>
          <w:ilvl w:val="1"/>
          <w:numId w:val="2"/>
        </w:numPr>
        <w:rPr>
          <w:rFonts w:eastAsiaTheme="minorEastAsia"/>
          <w:sz w:val="22"/>
          <w:szCs w:val="22"/>
        </w:rPr>
      </w:pPr>
      <w:r w:rsidRPr="004B1FC1">
        <w:rPr>
          <w:rFonts w:eastAsiaTheme="minorEastAsia"/>
          <w:sz w:val="22"/>
          <w:szCs w:val="22"/>
        </w:rPr>
        <w:t xml:space="preserve">Establish a university-wide budget Object Code for disability and accessibility </w:t>
      </w:r>
      <w:proofErr w:type="gramStart"/>
      <w:r w:rsidRPr="004B1FC1">
        <w:rPr>
          <w:rFonts w:eastAsiaTheme="minorEastAsia"/>
          <w:sz w:val="22"/>
          <w:szCs w:val="22"/>
        </w:rPr>
        <w:t>accommodations</w:t>
      </w:r>
      <w:proofErr w:type="gramEnd"/>
    </w:p>
    <w:p w:rsidRPr="004B1FC1" w:rsidR="00FA2002" w:rsidP="7EF1B1C7" w:rsidRDefault="0150C65A" w14:paraId="1F0C9404" w14:textId="02F71834">
      <w:pPr>
        <w:pStyle w:val="ListParagraph"/>
        <w:numPr>
          <w:ilvl w:val="1"/>
          <w:numId w:val="2"/>
        </w:numPr>
        <w:rPr>
          <w:rFonts w:eastAsiaTheme="minorEastAsia"/>
          <w:sz w:val="22"/>
          <w:szCs w:val="22"/>
        </w:rPr>
      </w:pPr>
      <w:r w:rsidRPr="004B1FC1">
        <w:rPr>
          <w:rFonts w:eastAsiaTheme="minorEastAsia"/>
          <w:sz w:val="22"/>
          <w:szCs w:val="22"/>
        </w:rPr>
        <w:t>Transition to a fully Centralized Funding Model as part of ongoing budget discussions and inclusion in MSU Budget Model Redesign project</w:t>
      </w:r>
    </w:p>
    <w:p w:rsidRPr="004B1FC1" w:rsidR="00FA2002" w:rsidP="1EB4591C" w:rsidRDefault="0150C65A" w14:paraId="3F3938BB" w14:textId="22E383A6">
      <w:pPr>
        <w:pStyle w:val="ListParagraph"/>
        <w:numPr>
          <w:ilvl w:val="0"/>
          <w:numId w:val="65"/>
        </w:numPr>
        <w:rPr>
          <w:rFonts w:eastAsia="游ゴシック" w:eastAsiaTheme="minorEastAsia"/>
          <w:sz w:val="22"/>
          <w:szCs w:val="22"/>
        </w:rPr>
      </w:pPr>
      <w:r w:rsidRPr="1EB4591C" w:rsidR="0150C65A">
        <w:rPr>
          <w:rFonts w:eastAsia="游ゴシック" w:eastAsiaTheme="minorEastAsia"/>
          <w:sz w:val="22"/>
          <w:szCs w:val="22"/>
        </w:rPr>
        <w:t>Development of a Centralized Disability and Accessibility Information Website</w:t>
      </w:r>
    </w:p>
    <w:p w:rsidRPr="004B1FC1" w:rsidR="00FA2002" w:rsidP="1EB4591C" w:rsidRDefault="0150C65A" w14:paraId="476E5659" w14:textId="0395846A">
      <w:pPr>
        <w:pStyle w:val="ListParagraph"/>
        <w:numPr>
          <w:ilvl w:val="0"/>
          <w:numId w:val="65"/>
        </w:numPr>
        <w:rPr>
          <w:sz w:val="22"/>
          <w:szCs w:val="22"/>
        </w:rPr>
      </w:pPr>
      <w:r w:rsidRPr="1EB4591C" w:rsidR="0150C65A">
        <w:rPr>
          <w:sz w:val="22"/>
          <w:szCs w:val="22"/>
        </w:rPr>
        <w:t>Coordinated Leadership for Supporting Autistic and Neurodivergent Students at Michigan State University</w:t>
      </w:r>
    </w:p>
    <w:p w:rsidR="00FA2002" w:rsidP="7EF1B1C7" w:rsidRDefault="00FA2002" w14:paraId="7F662154" w14:textId="5B2C00D3">
      <w:pPr>
        <w:spacing w:after="0" w:line="300" w:lineRule="auto"/>
        <w:rPr>
          <w:rFonts w:eastAsiaTheme="minorEastAsia"/>
          <w:sz w:val="22"/>
          <w:szCs w:val="22"/>
        </w:rPr>
      </w:pPr>
    </w:p>
    <w:p w:rsidR="00FA2002" w:rsidP="7EF1B1C7" w:rsidRDefault="00FA2002" w14:paraId="4CC1B6C0" w14:textId="7550E6E3"/>
    <w:p w:rsidR="00FA2002" w:rsidP="7EF1B1C7" w:rsidRDefault="00FA2002" w14:paraId="6874ADB5" w14:textId="1A9137A4"/>
    <w:p w:rsidR="00FA2002" w:rsidP="7EF1B1C7" w:rsidRDefault="65C1A958" w14:paraId="56B4CE0A" w14:textId="0810B64B">
      <w:r>
        <w:br w:type="page"/>
      </w:r>
    </w:p>
    <w:p w:rsidR="00FA2002" w:rsidP="7EF1B1C7" w:rsidRDefault="65C1A958" w14:paraId="3AABF7E4" w14:textId="18C485EE">
      <w:pPr>
        <w:pStyle w:val="Heading2"/>
        <w:rPr>
          <w:rFonts w:asciiTheme="minorHAnsi" w:hAnsiTheme="minorHAnsi" w:eastAsiaTheme="minorEastAsia" w:cstheme="minorBidi"/>
        </w:rPr>
      </w:pPr>
      <w:r w:rsidRPr="7EF1B1C7">
        <w:rPr>
          <w:rFonts w:asciiTheme="minorHAnsi" w:hAnsiTheme="minorHAnsi" w:eastAsiaTheme="minorEastAsia" w:cstheme="minorBidi"/>
        </w:rPr>
        <w:t>Recommendations</w:t>
      </w:r>
    </w:p>
    <w:p w:rsidR="00FA2002" w:rsidP="7EF1B1C7" w:rsidRDefault="0EE0FC59" w14:paraId="5DEA0622" w14:textId="4F8F38E4">
      <w:pPr>
        <w:pStyle w:val="Heading3"/>
        <w:numPr>
          <w:ilvl w:val="0"/>
          <w:numId w:val="24"/>
        </w:numPr>
        <w:rPr>
          <w:rFonts w:eastAsiaTheme="minorEastAsia" w:cstheme="minorBidi"/>
        </w:rPr>
      </w:pPr>
      <w:r w:rsidRPr="7EF1B1C7">
        <w:rPr>
          <w:rFonts w:eastAsiaTheme="minorEastAsia" w:cstheme="minorBidi"/>
        </w:rPr>
        <w:t>Transition MSU to a Centralized Funding Model for Disability and Accessibility Accommodations</w:t>
      </w:r>
    </w:p>
    <w:p w:rsidRPr="00B90DD0" w:rsidR="00B90DD0" w:rsidP="34A2C28A" w:rsidRDefault="5D42FBBF" w14:paraId="4562BDBE" w14:textId="4A14CE2E">
      <w:pPr>
        <w:spacing w:after="0" w:line="300" w:lineRule="atLeast"/>
        <w:rPr>
          <w:rFonts w:eastAsiaTheme="minorEastAsia"/>
          <w:kern w:val="0"/>
          <w:sz w:val="22"/>
          <w:szCs w:val="22"/>
          <w14:ligatures w14:val="none"/>
        </w:rPr>
      </w:pPr>
      <w:r w:rsidRPr="34A2C28A">
        <w:rPr>
          <w:rFonts w:eastAsiaTheme="minorEastAsia"/>
          <w:kern w:val="0"/>
          <w:sz w:val="22"/>
          <w:szCs w:val="22"/>
          <w14:ligatures w14:val="none"/>
        </w:rPr>
        <w:t xml:space="preserve">PACDI recommends that Michigan State University adopt a comprehensive, </w:t>
      </w:r>
      <w:r w:rsidRPr="34A2C28A" w:rsidR="3D36D16C">
        <w:rPr>
          <w:rFonts w:eastAsiaTheme="minorEastAsia"/>
          <w:kern w:val="0"/>
          <w:sz w:val="22"/>
          <w:szCs w:val="22"/>
          <w14:ligatures w14:val="none"/>
        </w:rPr>
        <w:t>institution</w:t>
      </w:r>
      <w:r w:rsidRPr="34A2C28A" w:rsidR="3D9BCEC4">
        <w:rPr>
          <w:rFonts w:eastAsiaTheme="minorEastAsia"/>
          <w:kern w:val="0"/>
          <w:sz w:val="22"/>
          <w:szCs w:val="22"/>
          <w14:ligatures w14:val="none"/>
        </w:rPr>
        <w:t>-</w:t>
      </w:r>
      <w:r w:rsidRPr="34A2C28A" w:rsidR="3D36D16C">
        <w:rPr>
          <w:rFonts w:eastAsiaTheme="minorEastAsia"/>
          <w:kern w:val="0"/>
          <w:sz w:val="22"/>
          <w:szCs w:val="22"/>
          <w14:ligatures w14:val="none"/>
        </w:rPr>
        <w:t>wide</w:t>
      </w:r>
      <w:r w:rsidRPr="34A2C28A">
        <w:rPr>
          <w:rFonts w:eastAsiaTheme="minorEastAsia"/>
          <w:kern w:val="0"/>
          <w:sz w:val="22"/>
          <w:szCs w:val="22"/>
          <w14:ligatures w14:val="none"/>
        </w:rPr>
        <w:t xml:space="preserve"> strategy to transition toward a centralized funding model for disability and accessibility accommodations. This approach builds the necessary data infrastructure, ensures effective </w:t>
      </w:r>
      <w:r w:rsidRPr="34A2C28A" w:rsidR="693C34ED">
        <w:rPr>
          <w:rFonts w:eastAsiaTheme="minorEastAsia"/>
          <w:kern w:val="0"/>
          <w:sz w:val="22"/>
          <w:szCs w:val="22"/>
          <w14:ligatures w14:val="none"/>
        </w:rPr>
        <w:t>cross</w:t>
      </w:r>
      <w:r w:rsidRPr="34A2C28A" w:rsidR="2FF7C72D">
        <w:rPr>
          <w:rFonts w:eastAsiaTheme="minorEastAsia"/>
          <w:kern w:val="0"/>
          <w:sz w:val="22"/>
          <w:szCs w:val="22"/>
          <w14:ligatures w14:val="none"/>
        </w:rPr>
        <w:t>-</w:t>
      </w:r>
      <w:r w:rsidRPr="34A2C28A" w:rsidR="693C34ED">
        <w:rPr>
          <w:rFonts w:eastAsiaTheme="minorEastAsia"/>
          <w:kern w:val="0"/>
          <w:sz w:val="22"/>
          <w:szCs w:val="22"/>
          <w14:ligatures w14:val="none"/>
        </w:rPr>
        <w:t>unit</w:t>
      </w:r>
      <w:r w:rsidRPr="34A2C28A">
        <w:rPr>
          <w:rFonts w:eastAsiaTheme="minorEastAsia"/>
          <w:kern w:val="0"/>
          <w:sz w:val="22"/>
          <w:szCs w:val="22"/>
          <w14:ligatures w14:val="none"/>
        </w:rPr>
        <w:t xml:space="preserve"> governance, and positions MSU to align with </w:t>
      </w:r>
      <w:r w:rsidRPr="34A2C28A" w:rsidR="7AFB3BB3">
        <w:rPr>
          <w:rFonts w:eastAsiaTheme="minorEastAsia"/>
          <w:kern w:val="0"/>
          <w:sz w:val="22"/>
          <w:szCs w:val="22"/>
          <w14:ligatures w14:val="none"/>
        </w:rPr>
        <w:t xml:space="preserve">its peers in the </w:t>
      </w:r>
      <w:r w:rsidRPr="34A2C28A">
        <w:rPr>
          <w:rFonts w:eastAsiaTheme="minorEastAsia"/>
          <w:kern w:val="0"/>
          <w:sz w:val="22"/>
          <w:szCs w:val="22"/>
          <w14:ligatures w14:val="none"/>
        </w:rPr>
        <w:t>Big</w:t>
      </w:r>
      <w:r w:rsidRPr="34A2C28A" w:rsidR="76ED72AA">
        <w:rPr>
          <w:rFonts w:eastAsiaTheme="minorEastAsia"/>
          <w:kern w:val="0"/>
          <w:sz w:val="22"/>
          <w:szCs w:val="22"/>
          <w14:ligatures w14:val="none"/>
        </w:rPr>
        <w:t xml:space="preserve"> Ten</w:t>
      </w:r>
      <w:r w:rsidRPr="34A2C28A">
        <w:rPr>
          <w:rFonts w:eastAsiaTheme="minorEastAsia"/>
          <w:kern w:val="0"/>
          <w:sz w:val="22"/>
          <w:szCs w:val="22"/>
          <w14:ligatures w14:val="none"/>
        </w:rPr>
        <w:t>. The recommendation consists of three mutually reinforcing components:</w:t>
      </w:r>
    </w:p>
    <w:p w:rsidRPr="00B90DD0" w:rsidR="00B90DD0" w:rsidP="1EB4591C" w:rsidRDefault="5D42FBBF" w14:paraId="49439852" w14:textId="3DC1266C" w14:noSpellErr="1">
      <w:pPr>
        <w:pStyle w:val="ListParagraph"/>
        <w:numPr>
          <w:ilvl w:val="0"/>
          <w:numId w:val="28"/>
        </w:numPr>
        <w:spacing w:after="0" w:line="300" w:lineRule="atLeast"/>
        <w:rPr>
          <w:rFonts w:eastAsia="游ゴシック" w:eastAsiaTheme="minorEastAsia"/>
          <w:kern w:val="0"/>
          <w:sz w:val="22"/>
          <w:szCs w:val="22"/>
          <w14:ligatures w14:val="none"/>
        </w:rPr>
      </w:pPr>
      <w:r w:rsidRPr="1EB4591C" w:rsidR="5D42FBBF">
        <w:rPr>
          <w:rFonts w:eastAsia="游ゴシック" w:eastAsiaTheme="minorEastAsia"/>
          <w:kern w:val="0"/>
          <w:sz w:val="22"/>
          <w:szCs w:val="22"/>
          <w14:ligatures w14:val="none"/>
        </w:rPr>
        <w:t xml:space="preserve">Establish a university-wide budget Object Code for disability and </w:t>
      </w:r>
      <w:bookmarkStart w:name="_Int_nUJWnmQ1" w:id="0"/>
      <w:r w:rsidRPr="1EB4591C" w:rsidR="5D42FBBF">
        <w:rPr>
          <w:rFonts w:eastAsia="游ゴシック" w:eastAsiaTheme="minorEastAsia"/>
          <w:kern w:val="0"/>
          <w:sz w:val="22"/>
          <w:szCs w:val="22"/>
          <w14:ligatures w14:val="none"/>
        </w:rPr>
        <w:t>accessibility</w:t>
      </w:r>
      <w:bookmarkEnd w:id="0"/>
      <w:r w:rsidRPr="1EB4591C" w:rsidR="5D42FBBF">
        <w:rPr>
          <w:rFonts w:eastAsia="游ゴシック" w:eastAsiaTheme="minorEastAsia"/>
          <w:kern w:val="0"/>
          <w:sz w:val="22"/>
          <w:szCs w:val="22"/>
          <w14:ligatures w14:val="none"/>
        </w:rPr>
        <w:t xml:space="preserve"> </w:t>
      </w:r>
      <w:r w:rsidRPr="1EB4591C" w:rsidR="0013B635">
        <w:rPr>
          <w:rFonts w:eastAsia="游ゴシック" w:eastAsiaTheme="minorEastAsia"/>
          <w:kern w:val="0"/>
          <w:sz w:val="22"/>
          <w:szCs w:val="22"/>
          <w14:ligatures w14:val="none"/>
        </w:rPr>
        <w:t>a</w:t>
      </w:r>
      <w:r w:rsidRPr="1EB4591C" w:rsidR="5D42FBBF">
        <w:rPr>
          <w:rFonts w:eastAsia="游ゴシック" w:eastAsiaTheme="minorEastAsia"/>
          <w:kern w:val="0"/>
          <w:sz w:val="22"/>
          <w:szCs w:val="22"/>
          <w14:ligatures w14:val="none"/>
        </w:rPr>
        <w:t>ccommodations</w:t>
      </w:r>
      <w:r w:rsidRPr="1EB4591C" w:rsidR="7A144845">
        <w:rPr>
          <w:rFonts w:eastAsia="游ゴシック" w:eastAsiaTheme="minorEastAsia"/>
          <w:kern w:val="0"/>
          <w:sz w:val="22"/>
          <w:szCs w:val="22"/>
          <w14:ligatures w14:val="none"/>
        </w:rPr>
        <w:t>.</w:t>
      </w:r>
    </w:p>
    <w:p w:rsidRPr="00B90DD0" w:rsidR="00B90DD0" w:rsidP="7EF1B1C7" w:rsidRDefault="0EE0FC59" w14:paraId="7402223E" w14:textId="3EDAD32C">
      <w:pPr>
        <w:pStyle w:val="ListParagraph"/>
        <w:numPr>
          <w:ilvl w:val="0"/>
          <w:numId w:val="28"/>
        </w:numPr>
        <w:spacing w:after="0" w:line="300" w:lineRule="atLeast"/>
        <w:rPr>
          <w:rFonts w:eastAsiaTheme="minorEastAsia"/>
          <w:sz w:val="22"/>
          <w:szCs w:val="22"/>
        </w:rPr>
      </w:pPr>
      <w:r w:rsidRPr="7EF1B1C7">
        <w:rPr>
          <w:rFonts w:eastAsiaTheme="minorEastAsia"/>
          <w:kern w:val="0"/>
          <w:sz w:val="22"/>
          <w:szCs w:val="22"/>
          <w14:ligatures w14:val="none"/>
        </w:rPr>
        <w:t xml:space="preserve">Transition to a fully Centralized Funding Model as part of ongoing budget discussions and inclusion in </w:t>
      </w:r>
      <w:r w:rsidRPr="7EF1B1C7" w:rsidR="093CF40F">
        <w:rPr>
          <w:rFonts w:eastAsiaTheme="minorEastAsia"/>
          <w:kern w:val="0"/>
          <w:sz w:val="22"/>
          <w:szCs w:val="22"/>
          <w14:ligatures w14:val="none"/>
        </w:rPr>
        <w:t>the MSU</w:t>
      </w:r>
      <w:r w:rsidRPr="7EF1B1C7">
        <w:rPr>
          <w:rFonts w:eastAsiaTheme="minorEastAsia"/>
          <w:kern w:val="0"/>
          <w:sz w:val="22"/>
          <w:szCs w:val="22"/>
          <w14:ligatures w14:val="none"/>
        </w:rPr>
        <w:t xml:space="preserve"> Budget Model Redesign project.</w:t>
      </w:r>
    </w:p>
    <w:p w:rsidR="00B90DD0" w:rsidP="1EB4591C" w:rsidRDefault="0EE0FC59" w14:paraId="670187F8" w14:textId="0F3E8E94">
      <w:pPr>
        <w:pStyle w:val="Heading4"/>
        <w:rPr>
          <w:rFonts w:eastAsia="游ゴシック" w:cs="Arial" w:eastAsiaTheme="minorEastAsia" w:cstheme="minorBidi"/>
        </w:rPr>
      </w:pPr>
      <w:r w:rsidRPr="1EB4591C" w:rsidR="0EE0FC59">
        <w:rPr>
          <w:rFonts w:eastAsia="游ゴシック" w:cs="Arial" w:eastAsiaTheme="minorEastAsia" w:cstheme="minorBidi"/>
        </w:rPr>
        <w:t>Rationale for Recommendation</w:t>
      </w:r>
      <w:r w:rsidRPr="1EB4591C" w:rsidR="251741D1">
        <w:rPr>
          <w:rFonts w:eastAsia="游ゴシック" w:cs="Arial" w:eastAsiaTheme="minorEastAsia" w:cstheme="minorBidi"/>
        </w:rPr>
        <w:t xml:space="preserve"> No. 1</w:t>
      </w:r>
      <w:r w:rsidRPr="1EB4591C" w:rsidR="435EDA91">
        <w:rPr>
          <w:rFonts w:eastAsia="游ゴシック" w:cs="Arial" w:eastAsiaTheme="minorEastAsia" w:cstheme="minorBidi"/>
        </w:rPr>
        <w:t>.1</w:t>
      </w:r>
    </w:p>
    <w:p w:rsidR="00B42758" w:rsidP="7EF1B1C7" w:rsidRDefault="251741D1" w14:paraId="65596B63" w14:textId="77777777">
      <w:pPr>
        <w:pStyle w:val="Heading5"/>
        <w:rPr>
          <w:rFonts w:eastAsiaTheme="minorEastAsia" w:cstheme="minorBidi"/>
        </w:rPr>
      </w:pPr>
      <w:r w:rsidRPr="7EF1B1C7">
        <w:rPr>
          <w:rFonts w:eastAsiaTheme="minorEastAsia" w:cstheme="minorBidi"/>
        </w:rPr>
        <w:t xml:space="preserve">1.1: </w:t>
      </w:r>
      <w:bookmarkStart w:name="_Int_X40zTV1A" w:id="1"/>
      <w:r w:rsidRPr="7EF1B1C7">
        <w:rPr>
          <w:rFonts w:eastAsiaTheme="minorEastAsia" w:cstheme="minorBidi"/>
        </w:rPr>
        <w:t>Establish</w:t>
      </w:r>
      <w:bookmarkEnd w:id="1"/>
      <w:r w:rsidRPr="7EF1B1C7">
        <w:rPr>
          <w:rFonts w:eastAsiaTheme="minorEastAsia" w:cstheme="minorBidi"/>
        </w:rPr>
        <w:t xml:space="preserve"> a university-wide budget Object Code for disability and accessibility accommodations: </w:t>
      </w:r>
    </w:p>
    <w:p w:rsidRPr="00976A6A" w:rsidR="00B90DD0" w:rsidP="7EF1B1C7" w:rsidRDefault="0EE0FC59" w14:paraId="3A998527" w14:textId="29DEF0EC">
      <w:pPr>
        <w:rPr>
          <w:rFonts w:eastAsiaTheme="minorEastAsia"/>
          <w:sz w:val="22"/>
          <w:szCs w:val="22"/>
        </w:rPr>
      </w:pPr>
      <w:r w:rsidRPr="7EF1B1C7">
        <w:rPr>
          <w:rFonts w:eastAsiaTheme="minorEastAsia"/>
          <w:sz w:val="22"/>
          <w:szCs w:val="22"/>
        </w:rPr>
        <w:t xml:space="preserve">MSU currently has no unified system for tracking the cost of disability accommodations across campus. </w:t>
      </w:r>
      <w:r w:rsidRPr="7EF1B1C7" w:rsidR="251741D1">
        <w:rPr>
          <w:rFonts w:eastAsiaTheme="minorEastAsia"/>
          <w:sz w:val="22"/>
          <w:szCs w:val="22"/>
        </w:rPr>
        <w:t xml:space="preserve">This challenge </w:t>
      </w:r>
      <w:proofErr w:type="gramStart"/>
      <w:r w:rsidRPr="7EF1B1C7" w:rsidR="251741D1">
        <w:rPr>
          <w:rFonts w:eastAsiaTheme="minorEastAsia"/>
          <w:sz w:val="22"/>
          <w:szCs w:val="22"/>
        </w:rPr>
        <w:t>is compounded</w:t>
      </w:r>
      <w:proofErr w:type="gramEnd"/>
      <w:r w:rsidRPr="7EF1B1C7" w:rsidR="251741D1">
        <w:rPr>
          <w:rFonts w:eastAsiaTheme="minorEastAsia"/>
          <w:sz w:val="22"/>
          <w:szCs w:val="22"/>
        </w:rPr>
        <w:t xml:space="preserve"> by the fact that accommodation costs take </w:t>
      </w:r>
      <w:proofErr w:type="gramStart"/>
      <w:r w:rsidRPr="7EF1B1C7" w:rsidR="251741D1">
        <w:rPr>
          <w:rFonts w:eastAsiaTheme="minorEastAsia"/>
          <w:sz w:val="22"/>
          <w:szCs w:val="22"/>
        </w:rPr>
        <w:t>many</w:t>
      </w:r>
      <w:proofErr w:type="gramEnd"/>
      <w:r w:rsidRPr="7EF1B1C7" w:rsidR="251741D1">
        <w:rPr>
          <w:rFonts w:eastAsiaTheme="minorEastAsia"/>
          <w:sz w:val="22"/>
          <w:szCs w:val="22"/>
        </w:rPr>
        <w:t xml:space="preserve"> forms including removal of physical barriers,</w:t>
      </w:r>
      <w:r w:rsidR="00B32F97">
        <w:rPr>
          <w:rFonts w:eastAsiaTheme="minorEastAsia"/>
          <w:sz w:val="22"/>
          <w:szCs w:val="22"/>
        </w:rPr>
        <w:t xml:space="preserve"> </w:t>
      </w:r>
      <w:r w:rsidRPr="7EF1B1C7" w:rsidR="00B32F97">
        <w:rPr>
          <w:rFonts w:eastAsiaTheme="minorEastAsia"/>
          <w:sz w:val="22"/>
          <w:szCs w:val="22"/>
        </w:rPr>
        <w:t>faculty and staff time</w:t>
      </w:r>
      <w:r w:rsidR="0007187A">
        <w:rPr>
          <w:rFonts w:eastAsiaTheme="minorEastAsia"/>
          <w:sz w:val="22"/>
          <w:szCs w:val="22"/>
        </w:rPr>
        <w:t>,</w:t>
      </w:r>
      <w:r w:rsidRPr="7EF1B1C7" w:rsidR="251741D1">
        <w:rPr>
          <w:rFonts w:eastAsiaTheme="minorEastAsia"/>
          <w:sz w:val="22"/>
          <w:szCs w:val="22"/>
        </w:rPr>
        <w:t xml:space="preserve"> testing accommodations, assistive technology, </w:t>
      </w:r>
      <w:r w:rsidR="0007187A">
        <w:rPr>
          <w:rFonts w:eastAsiaTheme="minorEastAsia"/>
          <w:sz w:val="22"/>
          <w:szCs w:val="22"/>
        </w:rPr>
        <w:t xml:space="preserve">ASL </w:t>
      </w:r>
      <w:r w:rsidRPr="7EF1B1C7" w:rsidR="251741D1">
        <w:rPr>
          <w:rFonts w:eastAsiaTheme="minorEastAsia"/>
          <w:sz w:val="22"/>
          <w:szCs w:val="22"/>
        </w:rPr>
        <w:t xml:space="preserve">interpreter and CART services, </w:t>
      </w:r>
      <w:r w:rsidRPr="7EF1B1C7" w:rsidR="2CF3EF7D">
        <w:rPr>
          <w:rFonts w:eastAsiaTheme="minorEastAsia"/>
          <w:sz w:val="22"/>
          <w:szCs w:val="22"/>
        </w:rPr>
        <w:t xml:space="preserve">and </w:t>
      </w:r>
      <w:r w:rsidR="0007187A">
        <w:rPr>
          <w:rFonts w:eastAsiaTheme="minorEastAsia"/>
          <w:sz w:val="22"/>
          <w:szCs w:val="22"/>
        </w:rPr>
        <w:t xml:space="preserve">unique </w:t>
      </w:r>
      <w:r w:rsidRPr="7EF1B1C7" w:rsidR="2CF3EF7D">
        <w:rPr>
          <w:rFonts w:eastAsiaTheme="minorEastAsia"/>
          <w:sz w:val="22"/>
          <w:szCs w:val="22"/>
        </w:rPr>
        <w:t>employee accommodations,</w:t>
      </w:r>
      <w:r w:rsidRPr="7EF1B1C7" w:rsidR="251741D1">
        <w:rPr>
          <w:rFonts w:eastAsiaTheme="minorEastAsia"/>
          <w:sz w:val="22"/>
          <w:szCs w:val="22"/>
        </w:rPr>
        <w:t xml:space="preserve"> among others. Meanwhile, the number of students</w:t>
      </w:r>
      <w:r w:rsidRPr="7EF1B1C7" w:rsidR="3206A735">
        <w:rPr>
          <w:rFonts w:eastAsiaTheme="minorEastAsia"/>
          <w:sz w:val="22"/>
          <w:szCs w:val="22"/>
        </w:rPr>
        <w:t xml:space="preserve"> and employees</w:t>
      </w:r>
      <w:r w:rsidRPr="7EF1B1C7" w:rsidR="251741D1">
        <w:rPr>
          <w:rFonts w:eastAsiaTheme="minorEastAsia"/>
          <w:sz w:val="22"/>
          <w:szCs w:val="22"/>
        </w:rPr>
        <w:t xml:space="preserve"> registering with RCPD is rising significantly, accommodation needs are growing in complexity, and the</w:t>
      </w:r>
      <w:r w:rsidRPr="7EF1B1C7" w:rsidR="3D2F40CD">
        <w:rPr>
          <w:rFonts w:eastAsiaTheme="minorEastAsia"/>
          <w:sz w:val="22"/>
          <w:szCs w:val="22"/>
        </w:rPr>
        <w:t xml:space="preserve"> financial</w:t>
      </w:r>
      <w:r w:rsidRPr="7EF1B1C7" w:rsidR="251741D1">
        <w:rPr>
          <w:rFonts w:eastAsiaTheme="minorEastAsia"/>
          <w:sz w:val="22"/>
          <w:szCs w:val="22"/>
        </w:rPr>
        <w:t xml:space="preserve"> </w:t>
      </w:r>
      <w:r w:rsidRPr="7EF1B1C7" w:rsidR="74713517">
        <w:rPr>
          <w:rFonts w:eastAsiaTheme="minorEastAsia"/>
          <w:sz w:val="22"/>
          <w:szCs w:val="22"/>
        </w:rPr>
        <w:t>cost to</w:t>
      </w:r>
      <w:r w:rsidRPr="7EF1B1C7" w:rsidR="251741D1">
        <w:rPr>
          <w:rFonts w:eastAsiaTheme="minorEastAsia"/>
          <w:sz w:val="22"/>
          <w:szCs w:val="22"/>
        </w:rPr>
        <w:t xml:space="preserve"> individual units is increasing.</w:t>
      </w:r>
    </w:p>
    <w:p w:rsidRPr="00976A6A" w:rsidR="00976A6A" w:rsidP="34A2C28A" w:rsidRDefault="6FDEFB69" w14:paraId="2CC47A8F" w14:textId="512174B6">
      <w:pPr>
        <w:numPr>
          <w:ilvl w:val="0"/>
          <w:numId w:val="8"/>
        </w:numPr>
        <w:rPr>
          <w:rFonts w:eastAsiaTheme="minorEastAsia"/>
          <w:sz w:val="22"/>
          <w:szCs w:val="22"/>
        </w:rPr>
      </w:pPr>
      <w:r w:rsidRPr="7EF1B1C7">
        <w:rPr>
          <w:rFonts w:eastAsiaTheme="minorEastAsia"/>
          <w:sz w:val="22"/>
          <w:szCs w:val="22"/>
        </w:rPr>
        <w:t xml:space="preserve">Accommodation expenses across MSU are currently dispersed, inconsistently tracked, and reliant on informal knowledge about </w:t>
      </w:r>
      <w:r w:rsidRPr="7EF1B1C7" w:rsidR="18C912F9">
        <w:rPr>
          <w:rFonts w:eastAsiaTheme="minorEastAsia"/>
          <w:sz w:val="22"/>
          <w:szCs w:val="22"/>
        </w:rPr>
        <w:t>unit level</w:t>
      </w:r>
      <w:r w:rsidRPr="7EF1B1C7">
        <w:rPr>
          <w:rFonts w:eastAsiaTheme="minorEastAsia"/>
          <w:sz w:val="22"/>
          <w:szCs w:val="22"/>
        </w:rPr>
        <w:t xml:space="preserve"> practices. Units estimate costs but lack reliable, categorical financial data. </w:t>
      </w:r>
    </w:p>
    <w:p w:rsidRPr="00976A6A" w:rsidR="00976A6A" w:rsidP="34A2C28A" w:rsidRDefault="6FDEFB69" w14:paraId="089E802B" w14:textId="2D13D144">
      <w:pPr>
        <w:numPr>
          <w:ilvl w:val="0"/>
          <w:numId w:val="38"/>
        </w:numPr>
        <w:rPr>
          <w:rFonts w:eastAsiaTheme="minorEastAsia"/>
          <w:sz w:val="22"/>
          <w:szCs w:val="22"/>
        </w:rPr>
      </w:pPr>
      <w:r w:rsidRPr="7EF1B1C7">
        <w:rPr>
          <w:rFonts w:eastAsiaTheme="minorEastAsia"/>
          <w:sz w:val="22"/>
          <w:szCs w:val="22"/>
        </w:rPr>
        <w:t xml:space="preserve">Without standardized data, largescale cost analysis, especially beyond student </w:t>
      </w:r>
      <w:r w:rsidRPr="7EF1B1C7" w:rsidR="006A7A8A">
        <w:rPr>
          <w:rFonts w:eastAsiaTheme="minorEastAsia"/>
          <w:sz w:val="22"/>
          <w:szCs w:val="22"/>
        </w:rPr>
        <w:t>accommodation</w:t>
      </w:r>
      <w:r w:rsidRPr="7EF1B1C7">
        <w:rPr>
          <w:rFonts w:eastAsiaTheme="minorEastAsia"/>
          <w:sz w:val="22"/>
          <w:szCs w:val="22"/>
        </w:rPr>
        <w:t xml:space="preserve">, </w:t>
      </w:r>
      <w:r w:rsidRPr="7EF1B1C7" w:rsidR="6D15B458">
        <w:rPr>
          <w:rFonts w:eastAsiaTheme="minorEastAsia"/>
          <w:sz w:val="22"/>
          <w:szCs w:val="22"/>
        </w:rPr>
        <w:t xml:space="preserve">becomes </w:t>
      </w:r>
      <w:r w:rsidRPr="7EF1B1C7" w:rsidR="777A4904">
        <w:rPr>
          <w:rFonts w:eastAsiaTheme="minorEastAsia"/>
          <w:sz w:val="22"/>
          <w:szCs w:val="22"/>
        </w:rPr>
        <w:t>difficult</w:t>
      </w:r>
      <w:r w:rsidRPr="7EF1B1C7">
        <w:rPr>
          <w:rFonts w:eastAsiaTheme="minorEastAsia"/>
          <w:sz w:val="22"/>
          <w:szCs w:val="22"/>
        </w:rPr>
        <w:t xml:space="preserve">. This </w:t>
      </w:r>
      <w:r w:rsidRPr="7EF1B1C7" w:rsidR="32EF8093">
        <w:rPr>
          <w:rFonts w:eastAsiaTheme="minorEastAsia"/>
          <w:sz w:val="22"/>
          <w:szCs w:val="22"/>
        </w:rPr>
        <w:t>prevents</w:t>
      </w:r>
      <w:r w:rsidRPr="7EF1B1C7" w:rsidR="0952AAB6">
        <w:rPr>
          <w:rFonts w:eastAsiaTheme="minorEastAsia"/>
          <w:sz w:val="22"/>
          <w:szCs w:val="22"/>
        </w:rPr>
        <w:t xml:space="preserve"> us from </w:t>
      </w:r>
      <w:r w:rsidRPr="7EF1B1C7">
        <w:rPr>
          <w:rFonts w:eastAsiaTheme="minorEastAsia"/>
          <w:sz w:val="22"/>
          <w:szCs w:val="22"/>
        </w:rPr>
        <w:t>developing accurate financial projections for planning purposes.</w:t>
      </w:r>
    </w:p>
    <w:p w:rsidRPr="00976A6A" w:rsidR="00976A6A" w:rsidP="7EF1B1C7" w:rsidRDefault="251741D1" w14:paraId="3AEA4229" w14:textId="655D8EB5">
      <w:pPr>
        <w:pStyle w:val="paragraph"/>
        <w:numPr>
          <w:ilvl w:val="0"/>
          <w:numId w:val="38"/>
        </w:numPr>
        <w:textAlignment w:val="baseline"/>
        <w:rPr>
          <w:rFonts w:asciiTheme="minorHAnsi" w:hAnsiTheme="minorHAnsi" w:eastAsiaTheme="minorEastAsia" w:cstheme="minorBidi"/>
          <w:sz w:val="22"/>
          <w:szCs w:val="22"/>
        </w:rPr>
      </w:pPr>
      <w:r w:rsidRPr="7EF1B1C7">
        <w:rPr>
          <w:rStyle w:val="normaltextrun"/>
          <w:rFonts w:asciiTheme="minorHAnsi" w:hAnsiTheme="minorHAnsi" w:eastAsiaTheme="minorEastAsia" w:cstheme="minorBidi"/>
          <w:sz w:val="22"/>
          <w:szCs w:val="22"/>
        </w:rPr>
        <w:t>Peer institutions with effective centralized models rely on consistent coding and categorization of accommodation expenditures to inform funding projections and stewardship.</w:t>
      </w:r>
      <w:r w:rsidRPr="7EF1B1C7">
        <w:rPr>
          <w:rStyle w:val="eop"/>
          <w:rFonts w:asciiTheme="minorHAnsi" w:hAnsiTheme="minorHAnsi" w:eastAsiaTheme="minorEastAsia" w:cstheme="minorBidi"/>
          <w:sz w:val="22"/>
          <w:szCs w:val="22"/>
        </w:rPr>
        <w:t> </w:t>
      </w:r>
    </w:p>
    <w:p w:rsidR="6F2B1DD8" w:rsidP="7EF1B1C7" w:rsidRDefault="6F2B1DD8" w14:paraId="47AB667F" w14:textId="337FAEE9">
      <w:pPr>
        <w:pStyle w:val="Heading4"/>
        <w:rPr>
          <w:rFonts w:eastAsiaTheme="minorEastAsia" w:cstheme="minorBidi"/>
        </w:rPr>
      </w:pPr>
      <w:r w:rsidRPr="7EF1B1C7">
        <w:rPr>
          <w:rFonts w:eastAsiaTheme="minorEastAsia" w:cstheme="minorBidi"/>
        </w:rPr>
        <w:t>Implementing Recommendation No. 1.1</w:t>
      </w:r>
    </w:p>
    <w:p w:rsidR="3EADC67A" w:rsidP="7EF1B1C7" w:rsidRDefault="3EADC67A" w14:paraId="024B5E5E" w14:textId="393BD626">
      <w:pPr>
        <w:pStyle w:val="Heading5"/>
        <w:rPr>
          <w:rFonts w:eastAsiaTheme="minorEastAsia" w:cstheme="minorBidi"/>
        </w:rPr>
      </w:pPr>
      <w:r w:rsidRPr="7EF1B1C7">
        <w:rPr>
          <w:rFonts w:eastAsiaTheme="minorEastAsia" w:cstheme="minorBidi"/>
        </w:rPr>
        <w:t xml:space="preserve">1.1: Establish a university-wide budget Object Code for disability and accessibility </w:t>
      </w:r>
      <w:r w:rsidRPr="7EF1B1C7" w:rsidR="006A7A8A">
        <w:rPr>
          <w:rFonts w:eastAsiaTheme="minorEastAsia" w:cstheme="minorBidi"/>
        </w:rPr>
        <w:t>accommodation</w:t>
      </w:r>
      <w:r w:rsidR="006A7A8A">
        <w:rPr>
          <w:rFonts w:eastAsiaTheme="minorEastAsia" w:cstheme="minorBidi"/>
        </w:rPr>
        <w:t>s</w:t>
      </w:r>
      <w:r w:rsidRPr="7EF1B1C7">
        <w:rPr>
          <w:rFonts w:eastAsiaTheme="minorEastAsia" w:cstheme="minorBidi"/>
        </w:rPr>
        <w:t xml:space="preserve">: </w:t>
      </w:r>
    </w:p>
    <w:p w:rsidR="3EADC67A" w:rsidP="7EF1B1C7" w:rsidRDefault="3EADC67A" w14:paraId="149DED1B" w14:textId="50AB2CDE">
      <w:pPr>
        <w:rPr>
          <w:rFonts w:eastAsiaTheme="minorEastAsia"/>
          <w:sz w:val="22"/>
          <w:szCs w:val="22"/>
        </w:rPr>
      </w:pPr>
      <w:r w:rsidRPr="7EF1B1C7">
        <w:rPr>
          <w:rFonts w:eastAsiaTheme="minorEastAsia"/>
          <w:sz w:val="22"/>
          <w:szCs w:val="22"/>
        </w:rPr>
        <w:t xml:space="preserve">To support evidence based planning and transparent cost analysis, MSU should implement a standardized object code that all units must use when recording accommodation related </w:t>
      </w:r>
      <w:r w:rsidRPr="7EF1B1C7">
        <w:rPr>
          <w:rFonts w:eastAsiaTheme="minorEastAsia"/>
          <w:sz w:val="22"/>
          <w:szCs w:val="22"/>
        </w:rPr>
        <w:t>expenditures. This will allow the university to capture accurate, consistent data across academic, administrative, and auxiliary units and will create the financial visibility needed to responsibly plan for a centrally funded model.</w:t>
      </w:r>
    </w:p>
    <w:p w:rsidR="3EADC67A" w:rsidP="7EF1B1C7" w:rsidRDefault="3EADC67A" w14:paraId="74331B2A" w14:textId="77F34429">
      <w:pPr>
        <w:rPr>
          <w:rFonts w:eastAsiaTheme="minorEastAsia"/>
          <w:sz w:val="22"/>
          <w:szCs w:val="22"/>
        </w:rPr>
      </w:pPr>
      <w:r w:rsidRPr="7EF1B1C7">
        <w:rPr>
          <w:rFonts w:eastAsiaTheme="minorEastAsia"/>
          <w:sz w:val="22"/>
          <w:szCs w:val="22"/>
        </w:rPr>
        <w:t>PACDI recommends: </w:t>
      </w:r>
    </w:p>
    <w:p w:rsidR="3EADC67A" w:rsidP="7EF1B1C7" w:rsidRDefault="3EADC67A" w14:paraId="4A40A341" w14:textId="3362D167">
      <w:pPr>
        <w:numPr>
          <w:ilvl w:val="0"/>
          <w:numId w:val="33"/>
        </w:numPr>
        <w:rPr>
          <w:rFonts w:eastAsiaTheme="minorEastAsia"/>
          <w:sz w:val="22"/>
          <w:szCs w:val="22"/>
        </w:rPr>
      </w:pPr>
      <w:r w:rsidRPr="7EF1B1C7">
        <w:rPr>
          <w:rFonts w:eastAsiaTheme="minorEastAsia"/>
          <w:sz w:val="22"/>
          <w:szCs w:val="22"/>
        </w:rPr>
        <w:t>The Controller’s Office creates and distributes a dedicated Object Code for Disability &amp; Accessibility Accommodation Costs. </w:t>
      </w:r>
    </w:p>
    <w:p w:rsidR="3EADC67A" w:rsidP="7EF1B1C7" w:rsidRDefault="3EADC67A" w14:paraId="1A3181ED" w14:textId="77777777">
      <w:pPr>
        <w:numPr>
          <w:ilvl w:val="0"/>
          <w:numId w:val="23"/>
        </w:numPr>
        <w:rPr>
          <w:rFonts w:eastAsiaTheme="minorEastAsia"/>
          <w:sz w:val="22"/>
          <w:szCs w:val="22"/>
        </w:rPr>
      </w:pPr>
      <w:r w:rsidRPr="7EF1B1C7">
        <w:rPr>
          <w:rFonts w:eastAsiaTheme="minorEastAsia"/>
          <w:sz w:val="22"/>
          <w:szCs w:val="22"/>
        </w:rPr>
        <w:t>Require all units across General Fund, Auxiliaries, Academic Affairs, Student Affairs, and administrative divisions to record all qualifying transactions under this code. </w:t>
      </w:r>
    </w:p>
    <w:p w:rsidR="3EADC67A" w:rsidP="7EF1B1C7" w:rsidRDefault="3EADC67A" w14:paraId="1C5D3976" w14:textId="2B7ABB9B">
      <w:pPr>
        <w:numPr>
          <w:ilvl w:val="0"/>
          <w:numId w:val="21"/>
        </w:numPr>
        <w:rPr>
          <w:rFonts w:eastAsiaTheme="minorEastAsia"/>
          <w:sz w:val="22"/>
          <w:szCs w:val="22"/>
        </w:rPr>
      </w:pPr>
      <w:r w:rsidRPr="7EF1B1C7">
        <w:rPr>
          <w:rFonts w:eastAsiaTheme="minorEastAsia"/>
          <w:sz w:val="22"/>
          <w:szCs w:val="22"/>
        </w:rPr>
        <w:t>Include expenditures such as assistive technologies, ASL/CART, ergonomic equipment, testing space conversions, workplace accommodations, disability-related visitor/event accommodations, additional staffing expenses such as the hiring of additional instructional staff to support accommodations, and physical accessibility modifications not covered by I</w:t>
      </w:r>
      <w:r w:rsidR="0004177F">
        <w:rPr>
          <w:rFonts w:eastAsiaTheme="minorEastAsia"/>
          <w:sz w:val="22"/>
          <w:szCs w:val="22"/>
        </w:rPr>
        <w:t xml:space="preserve">nstitutional </w:t>
      </w:r>
      <w:r w:rsidRPr="7EF1B1C7">
        <w:rPr>
          <w:rFonts w:eastAsiaTheme="minorEastAsia"/>
          <w:sz w:val="22"/>
          <w:szCs w:val="22"/>
        </w:rPr>
        <w:t>S</w:t>
      </w:r>
      <w:r w:rsidR="0004177F">
        <w:rPr>
          <w:rFonts w:eastAsiaTheme="minorEastAsia"/>
          <w:sz w:val="22"/>
          <w:szCs w:val="22"/>
        </w:rPr>
        <w:t xml:space="preserve">pace </w:t>
      </w:r>
      <w:r w:rsidRPr="7EF1B1C7">
        <w:rPr>
          <w:rFonts w:eastAsiaTheme="minorEastAsia"/>
          <w:sz w:val="22"/>
          <w:szCs w:val="22"/>
        </w:rPr>
        <w:t>P</w:t>
      </w:r>
      <w:r w:rsidR="0004177F">
        <w:rPr>
          <w:rFonts w:eastAsiaTheme="minorEastAsia"/>
          <w:sz w:val="22"/>
          <w:szCs w:val="22"/>
        </w:rPr>
        <w:t xml:space="preserve">lanning and </w:t>
      </w:r>
      <w:r w:rsidRPr="7EF1B1C7">
        <w:rPr>
          <w:rFonts w:eastAsiaTheme="minorEastAsia"/>
          <w:sz w:val="22"/>
          <w:szCs w:val="22"/>
        </w:rPr>
        <w:t>M</w:t>
      </w:r>
      <w:r w:rsidR="0004177F">
        <w:rPr>
          <w:rFonts w:eastAsiaTheme="minorEastAsia"/>
          <w:sz w:val="22"/>
          <w:szCs w:val="22"/>
        </w:rPr>
        <w:t>anagement (ISPM)</w:t>
      </w:r>
      <w:r w:rsidRPr="7EF1B1C7">
        <w:rPr>
          <w:rFonts w:eastAsiaTheme="minorEastAsia"/>
          <w:sz w:val="22"/>
          <w:szCs w:val="22"/>
        </w:rPr>
        <w:t>. </w:t>
      </w:r>
    </w:p>
    <w:p w:rsidR="3EADC67A" w:rsidP="7EF1B1C7" w:rsidRDefault="3EADC67A" w14:paraId="10A6F96D" w14:textId="749D71A9">
      <w:pPr>
        <w:numPr>
          <w:ilvl w:val="0"/>
          <w:numId w:val="18"/>
        </w:numPr>
        <w:rPr>
          <w:rFonts w:eastAsiaTheme="minorEastAsia"/>
          <w:sz w:val="22"/>
          <w:szCs w:val="22"/>
        </w:rPr>
      </w:pPr>
      <w:r w:rsidRPr="7EF1B1C7">
        <w:rPr>
          <w:rFonts w:eastAsiaTheme="minorEastAsia"/>
          <w:sz w:val="22"/>
          <w:szCs w:val="22"/>
        </w:rPr>
        <w:t>Implement use beginning in FY27 with inclusion of accessibility costs in regular financial reporting.</w:t>
      </w:r>
    </w:p>
    <w:p w:rsidRPr="007F46D9" w:rsidR="00B42758" w:rsidP="7EF1B1C7" w:rsidRDefault="543AD01F" w14:paraId="4B48AD63" w14:textId="39C5FBE3">
      <w:pPr>
        <w:pStyle w:val="Heading5"/>
        <w:rPr>
          <w:rFonts w:eastAsiaTheme="minorEastAsia" w:cstheme="minorBidi"/>
        </w:rPr>
      </w:pPr>
      <w:r w:rsidRPr="7EF1B1C7">
        <w:rPr>
          <w:rFonts w:eastAsiaTheme="minorEastAsia" w:cstheme="minorBidi"/>
        </w:rPr>
        <w:t>1.</w:t>
      </w:r>
      <w:r w:rsidRPr="7EF1B1C7" w:rsidR="4620C733">
        <w:rPr>
          <w:rFonts w:eastAsiaTheme="minorEastAsia" w:cstheme="minorBidi"/>
        </w:rPr>
        <w:t>2</w:t>
      </w:r>
      <w:r w:rsidRPr="7EF1B1C7">
        <w:rPr>
          <w:rFonts w:eastAsiaTheme="minorEastAsia" w:cstheme="minorBidi"/>
        </w:rPr>
        <w:t xml:space="preserve">: Transition to a fully Centralized Funding Model as part of ongoing budget discussions and inclusion in MSU Budget Model Redesign project: </w:t>
      </w:r>
    </w:p>
    <w:p w:rsidRPr="001220AF" w:rsidR="001220AF" w:rsidP="001220AF" w:rsidRDefault="001220AF" w14:paraId="2DB2E5BE" w14:textId="5A18E72A">
      <w:pPr>
        <w:rPr>
          <w:sz w:val="22"/>
          <w:szCs w:val="22"/>
        </w:rPr>
      </w:pPr>
      <w:r w:rsidRPr="001220AF">
        <w:rPr>
          <w:sz w:val="22"/>
          <w:szCs w:val="22"/>
        </w:rPr>
        <w:t xml:space="preserve">A centralized funding model would create a more equitable and sustainable approach by preventing accommodation costs from falling disproportionately on units with limited resources and enabling the university to make informed, strategic investments in accessibility. PACDI reviewed centralized models across the Big Ten and identified a strong peer example for MSU to consider. The University of Wisconsin’s </w:t>
      </w:r>
      <w:r w:rsidR="002A44F7">
        <w:rPr>
          <w:sz w:val="22"/>
          <w:szCs w:val="22"/>
        </w:rPr>
        <w:t xml:space="preserve">proposed </w:t>
      </w:r>
      <w:r w:rsidRPr="001220AF">
        <w:rPr>
          <w:sz w:val="22"/>
          <w:szCs w:val="22"/>
        </w:rPr>
        <w:t>model offers a promising framework for adaptation at MSU; see Addendum A.</w:t>
      </w:r>
    </w:p>
    <w:p w:rsidR="561534CE" w:rsidP="1EB4591C" w:rsidRDefault="561534CE" w14:paraId="627E963E" w14:textId="632A9364">
      <w:pPr>
        <w:pStyle w:val="Heading4"/>
        <w:rPr>
          <w:rFonts w:eastAsia="游ゴシック" w:cs="Arial" w:eastAsiaTheme="minorEastAsia" w:cstheme="minorBidi"/>
        </w:rPr>
      </w:pPr>
      <w:r w:rsidRPr="1EB4591C" w:rsidR="561534CE">
        <w:rPr>
          <w:rFonts w:eastAsia="游ゴシック" w:cs="Arial" w:eastAsiaTheme="minorEastAsia" w:cstheme="minorBidi"/>
        </w:rPr>
        <w:t>Rationale for Recommendation No. 1</w:t>
      </w:r>
      <w:r w:rsidRPr="1EB4591C" w:rsidR="3FC671D4">
        <w:rPr>
          <w:rFonts w:eastAsia="游ゴシック" w:cs="Arial" w:eastAsiaTheme="minorEastAsia" w:cstheme="minorBidi"/>
        </w:rPr>
        <w:t>.2</w:t>
      </w:r>
    </w:p>
    <w:p w:rsidRPr="00B42758" w:rsidR="00B42758" w:rsidP="7EF1B1C7" w:rsidRDefault="543AD01F" w14:paraId="3FA553C2" w14:textId="3201FD8D">
      <w:pPr>
        <w:numPr>
          <w:ilvl w:val="0"/>
          <w:numId w:val="22"/>
        </w:numPr>
        <w:spacing w:after="0" w:line="300" w:lineRule="atLeast"/>
        <w:rPr>
          <w:rFonts w:eastAsiaTheme="minorEastAsia"/>
          <w:sz w:val="22"/>
          <w:szCs w:val="22"/>
        </w:rPr>
      </w:pPr>
      <w:r w:rsidRPr="7EF1B1C7">
        <w:rPr>
          <w:rFonts w:eastAsiaTheme="minorEastAsia"/>
          <w:sz w:val="22"/>
          <w:szCs w:val="22"/>
        </w:rPr>
        <w:t xml:space="preserve">Campus stakeholders already elevate </w:t>
      </w:r>
      <w:proofErr w:type="gramStart"/>
      <w:r w:rsidRPr="7EF1B1C7">
        <w:rPr>
          <w:rFonts w:eastAsiaTheme="minorEastAsia"/>
          <w:sz w:val="22"/>
          <w:szCs w:val="22"/>
        </w:rPr>
        <w:t>some</w:t>
      </w:r>
      <w:proofErr w:type="gramEnd"/>
      <w:r w:rsidRPr="7EF1B1C7">
        <w:rPr>
          <w:rFonts w:eastAsiaTheme="minorEastAsia"/>
          <w:sz w:val="22"/>
          <w:szCs w:val="22"/>
        </w:rPr>
        <w:t xml:space="preserve"> accommodation costs (e.g., significant barrier removal) from departments to colleges</w:t>
      </w:r>
      <w:r w:rsidRPr="7EF1B1C7" w:rsidR="40BFB8A7">
        <w:rPr>
          <w:rFonts w:eastAsiaTheme="minorEastAsia"/>
          <w:sz w:val="22"/>
          <w:szCs w:val="22"/>
        </w:rPr>
        <w:t xml:space="preserve"> to Institutional Space Planning and Management</w:t>
      </w:r>
      <w:r w:rsidRPr="7EF1B1C7">
        <w:rPr>
          <w:rFonts w:eastAsiaTheme="minorEastAsia"/>
          <w:sz w:val="22"/>
          <w:szCs w:val="22"/>
        </w:rPr>
        <w:t xml:space="preserve"> and </w:t>
      </w:r>
      <w:proofErr w:type="gramStart"/>
      <w:r w:rsidRPr="7EF1B1C7">
        <w:rPr>
          <w:rFonts w:eastAsiaTheme="minorEastAsia"/>
          <w:sz w:val="22"/>
          <w:szCs w:val="22"/>
        </w:rPr>
        <w:t>ultimately to</w:t>
      </w:r>
      <w:proofErr w:type="gramEnd"/>
      <w:r w:rsidRPr="7EF1B1C7">
        <w:rPr>
          <w:rFonts w:eastAsiaTheme="minorEastAsia"/>
          <w:sz w:val="22"/>
          <w:szCs w:val="22"/>
        </w:rPr>
        <w:t xml:space="preserve"> central funds by requesting additional funding as part of their annual budget requests or for off-cycle requests, demonstrating an implicit tiered cost</w:t>
      </w:r>
      <w:r w:rsidRPr="7EF1B1C7" w:rsidR="31F80857">
        <w:rPr>
          <w:rFonts w:eastAsiaTheme="minorEastAsia"/>
          <w:sz w:val="22"/>
          <w:szCs w:val="22"/>
        </w:rPr>
        <w:t xml:space="preserve"> </w:t>
      </w:r>
      <w:r w:rsidRPr="7EF1B1C7">
        <w:rPr>
          <w:rFonts w:eastAsiaTheme="minorEastAsia"/>
          <w:sz w:val="22"/>
          <w:szCs w:val="22"/>
        </w:rPr>
        <w:t>sharing structure. </w:t>
      </w:r>
    </w:p>
    <w:p w:rsidR="32111D67" w:rsidP="7EF1B1C7" w:rsidRDefault="32111D67" w14:paraId="1DA0510E" w14:textId="6DD6B0AB">
      <w:pPr>
        <w:numPr>
          <w:ilvl w:val="0"/>
          <w:numId w:val="22"/>
        </w:numPr>
        <w:spacing w:after="0" w:line="300" w:lineRule="atLeast"/>
        <w:rPr>
          <w:rFonts w:eastAsiaTheme="minorEastAsia"/>
          <w:sz w:val="22"/>
          <w:szCs w:val="22"/>
        </w:rPr>
      </w:pPr>
      <w:r w:rsidRPr="7EF1B1C7">
        <w:rPr>
          <w:rFonts w:eastAsiaTheme="minorEastAsia"/>
          <w:sz w:val="22"/>
          <w:szCs w:val="22"/>
        </w:rPr>
        <w:t xml:space="preserve">Reduce bias in hiring determinations and </w:t>
      </w:r>
      <w:r w:rsidRPr="7EF1B1C7" w:rsidR="5D233C68">
        <w:rPr>
          <w:rFonts w:eastAsiaTheme="minorEastAsia"/>
          <w:sz w:val="22"/>
          <w:szCs w:val="22"/>
        </w:rPr>
        <w:t>teaching assignments due to costs of accommodations</w:t>
      </w:r>
      <w:r w:rsidRPr="7EF1B1C7">
        <w:rPr>
          <w:rStyle w:val="FootnoteReference"/>
          <w:rFonts w:eastAsiaTheme="minorEastAsia"/>
          <w:sz w:val="22"/>
          <w:szCs w:val="22"/>
        </w:rPr>
        <w:footnoteReference w:id="1"/>
      </w:r>
    </w:p>
    <w:p w:rsidRPr="00B42758" w:rsidR="00B42758" w:rsidP="7EF1B1C7" w:rsidRDefault="543AD01F" w14:paraId="448B0CF2" w14:textId="6C37E2CE">
      <w:pPr>
        <w:numPr>
          <w:ilvl w:val="0"/>
          <w:numId w:val="43"/>
        </w:numPr>
        <w:spacing w:after="0" w:line="300" w:lineRule="atLeast"/>
        <w:rPr>
          <w:rFonts w:eastAsiaTheme="minorEastAsia"/>
          <w:sz w:val="22"/>
          <w:szCs w:val="22"/>
        </w:rPr>
      </w:pPr>
      <w:r w:rsidRPr="7EF1B1C7">
        <w:rPr>
          <w:rFonts w:eastAsiaTheme="minorEastAsia"/>
          <w:sz w:val="22"/>
          <w:szCs w:val="22"/>
        </w:rPr>
        <w:t xml:space="preserve">Current central funding for barrier removal (~$500,000 annually) </w:t>
      </w:r>
      <w:proofErr w:type="gramStart"/>
      <w:r w:rsidRPr="7EF1B1C7">
        <w:rPr>
          <w:rFonts w:eastAsiaTheme="minorEastAsia"/>
          <w:sz w:val="22"/>
          <w:szCs w:val="22"/>
        </w:rPr>
        <w:t>is limited</w:t>
      </w:r>
      <w:proofErr w:type="gramEnd"/>
      <w:r w:rsidRPr="7EF1B1C7">
        <w:rPr>
          <w:rFonts w:eastAsiaTheme="minorEastAsia"/>
          <w:sz w:val="22"/>
          <w:szCs w:val="22"/>
        </w:rPr>
        <w:t xml:space="preserve"> in scope and focused primarily on physical access; it does not address the broader accommodation types now needed (e.g., classroom technological support, digital, instructional, testing, employee supports). </w:t>
      </w:r>
    </w:p>
    <w:p w:rsidR="00B42758" w:rsidP="7EF1B1C7" w:rsidRDefault="543AD01F" w14:paraId="35575BC4" w14:textId="77777777">
      <w:pPr>
        <w:numPr>
          <w:ilvl w:val="0"/>
          <w:numId w:val="11"/>
        </w:numPr>
        <w:spacing w:after="0" w:line="300" w:lineRule="atLeast"/>
        <w:rPr>
          <w:rFonts w:eastAsiaTheme="minorEastAsia"/>
          <w:sz w:val="22"/>
          <w:szCs w:val="22"/>
        </w:rPr>
      </w:pPr>
      <w:r w:rsidRPr="7EF1B1C7">
        <w:rPr>
          <w:rFonts w:eastAsiaTheme="minorEastAsia"/>
          <w:sz w:val="22"/>
          <w:szCs w:val="22"/>
        </w:rPr>
        <w:t>The timing aligns with MSU’s Budget Model Redesign, which seeks transparent, sustainable resource allocation structures. Embedding a central accessibility fund within this redesign avoids requiring later structural retrofits. </w:t>
      </w:r>
    </w:p>
    <w:p w:rsidR="008E0E94" w:rsidP="7EF1B1C7" w:rsidRDefault="00624187" w14:paraId="60D697B5" w14:textId="19C85DD5">
      <w:pPr>
        <w:numPr>
          <w:ilvl w:val="0"/>
          <w:numId w:val="11"/>
        </w:numPr>
        <w:spacing w:after="0" w:line="300" w:lineRule="atLeast"/>
        <w:rPr>
          <w:rFonts w:eastAsiaTheme="minorEastAsia"/>
          <w:sz w:val="22"/>
          <w:szCs w:val="22"/>
        </w:rPr>
      </w:pPr>
      <w:r>
        <w:rPr>
          <w:rFonts w:eastAsiaTheme="minorEastAsia"/>
          <w:sz w:val="22"/>
          <w:szCs w:val="22"/>
        </w:rPr>
        <w:t>Benchmarking across p</w:t>
      </w:r>
      <w:r w:rsidR="008E0E94">
        <w:rPr>
          <w:rFonts w:eastAsiaTheme="minorEastAsia"/>
          <w:sz w:val="22"/>
          <w:szCs w:val="22"/>
        </w:rPr>
        <w:t xml:space="preserve">eer institutions in the Big10 have </w:t>
      </w:r>
      <w:r w:rsidR="00574976">
        <w:rPr>
          <w:rFonts w:eastAsiaTheme="minorEastAsia"/>
          <w:sz w:val="22"/>
          <w:szCs w:val="22"/>
        </w:rPr>
        <w:t xml:space="preserve">variable centralized funding of </w:t>
      </w:r>
      <w:r w:rsidR="00601FA7">
        <w:rPr>
          <w:rFonts w:eastAsiaTheme="minorEastAsia"/>
          <w:sz w:val="22"/>
          <w:szCs w:val="22"/>
        </w:rPr>
        <w:t>accommodation</w:t>
      </w:r>
      <w:r w:rsidR="00574976">
        <w:rPr>
          <w:rFonts w:eastAsiaTheme="minorEastAsia"/>
          <w:sz w:val="22"/>
          <w:szCs w:val="22"/>
        </w:rPr>
        <w:t>s</w:t>
      </w:r>
      <w:r w:rsidR="00601FA7">
        <w:rPr>
          <w:rFonts w:eastAsiaTheme="minorEastAsia"/>
          <w:sz w:val="22"/>
          <w:szCs w:val="22"/>
        </w:rPr>
        <w:t xml:space="preserve"> and accessibility </w:t>
      </w:r>
      <w:r w:rsidR="00574976">
        <w:rPr>
          <w:rFonts w:eastAsiaTheme="minorEastAsia"/>
          <w:sz w:val="22"/>
          <w:szCs w:val="22"/>
        </w:rPr>
        <w:t>initiatives integrated into their funding models:</w:t>
      </w:r>
    </w:p>
    <w:p w:rsidR="00574976" w:rsidP="00574976" w:rsidRDefault="00574976" w14:paraId="114C3014" w14:textId="59F84340">
      <w:pPr>
        <w:numPr>
          <w:ilvl w:val="1"/>
          <w:numId w:val="11"/>
        </w:numPr>
        <w:spacing w:after="0" w:line="300" w:lineRule="atLeast"/>
        <w:rPr>
          <w:rFonts w:eastAsiaTheme="minorEastAsia"/>
          <w:sz w:val="22"/>
          <w:szCs w:val="22"/>
        </w:rPr>
      </w:pPr>
      <w:r>
        <w:rPr>
          <w:rFonts w:eastAsiaTheme="minorEastAsia"/>
          <w:sz w:val="22"/>
          <w:szCs w:val="22"/>
        </w:rPr>
        <w:t>University of Wisconsin</w:t>
      </w:r>
      <w:r w:rsidR="006245EA">
        <w:rPr>
          <w:rFonts w:eastAsiaTheme="minorEastAsia"/>
          <w:sz w:val="22"/>
          <w:szCs w:val="22"/>
        </w:rPr>
        <w:t xml:space="preserve">: </w:t>
      </w:r>
      <w:r w:rsidR="001421C9">
        <w:rPr>
          <w:rFonts w:eastAsiaTheme="minorEastAsia"/>
          <w:sz w:val="22"/>
          <w:szCs w:val="22"/>
        </w:rPr>
        <w:t>Proposed model c</w:t>
      </w:r>
      <w:r w:rsidR="006245EA">
        <w:rPr>
          <w:rFonts w:eastAsiaTheme="minorEastAsia"/>
          <w:sz w:val="22"/>
          <w:szCs w:val="22"/>
        </w:rPr>
        <w:t>overs student, employe and student-employee accommodations, program participants and visitor accommodations</w:t>
      </w:r>
      <w:r w:rsidR="00A32FFC">
        <w:rPr>
          <w:rFonts w:eastAsiaTheme="minorEastAsia"/>
          <w:sz w:val="22"/>
          <w:szCs w:val="22"/>
        </w:rPr>
        <w:t>, and physical improvements</w:t>
      </w:r>
      <w:r w:rsidR="00F51ACF">
        <w:rPr>
          <w:rFonts w:eastAsiaTheme="minorEastAsia"/>
          <w:sz w:val="22"/>
          <w:szCs w:val="22"/>
        </w:rPr>
        <w:t>.</w:t>
      </w:r>
      <w:r w:rsidR="002A44F7">
        <w:rPr>
          <w:rFonts w:eastAsiaTheme="minorEastAsia"/>
          <w:sz w:val="22"/>
          <w:szCs w:val="22"/>
        </w:rPr>
        <w:t xml:space="preserve"> Current model covers student </w:t>
      </w:r>
      <w:proofErr w:type="gramStart"/>
      <w:r w:rsidR="002A44F7">
        <w:rPr>
          <w:rFonts w:eastAsiaTheme="minorEastAsia"/>
          <w:sz w:val="22"/>
          <w:szCs w:val="22"/>
        </w:rPr>
        <w:t>accommodations</w:t>
      </w:r>
      <w:proofErr w:type="gramEnd"/>
      <w:r w:rsidR="002A44F7">
        <w:rPr>
          <w:rFonts w:eastAsiaTheme="minorEastAsia"/>
          <w:sz w:val="22"/>
          <w:szCs w:val="22"/>
        </w:rPr>
        <w:t>.</w:t>
      </w:r>
    </w:p>
    <w:p w:rsidR="006245EA" w:rsidP="00574976" w:rsidRDefault="00350227" w14:paraId="2E475F8C" w14:textId="5B97DDF2">
      <w:pPr>
        <w:numPr>
          <w:ilvl w:val="1"/>
          <w:numId w:val="11"/>
        </w:numPr>
        <w:spacing w:after="0" w:line="300" w:lineRule="atLeast"/>
        <w:rPr>
          <w:rFonts w:eastAsiaTheme="minorEastAsia"/>
          <w:sz w:val="22"/>
          <w:szCs w:val="22"/>
        </w:rPr>
      </w:pPr>
      <w:r>
        <w:rPr>
          <w:rFonts w:eastAsiaTheme="minorEastAsia"/>
          <w:sz w:val="22"/>
          <w:szCs w:val="22"/>
        </w:rPr>
        <w:t xml:space="preserve">University of Michigan: </w:t>
      </w:r>
      <w:r w:rsidR="00F51ACF">
        <w:rPr>
          <w:rFonts w:eastAsiaTheme="minorEastAsia"/>
          <w:sz w:val="22"/>
          <w:szCs w:val="22"/>
        </w:rPr>
        <w:t>Covers student, employee accommodations, physical accessibility.</w:t>
      </w:r>
      <w:r w:rsidR="00E32556">
        <w:rPr>
          <w:rFonts w:eastAsiaTheme="minorEastAsia"/>
          <w:sz w:val="22"/>
          <w:szCs w:val="22"/>
        </w:rPr>
        <w:t xml:space="preserve"> Program/events not covered.</w:t>
      </w:r>
    </w:p>
    <w:p w:rsidR="00F51ACF" w:rsidP="00574976" w:rsidRDefault="00C90608" w14:paraId="47F94B10" w14:textId="1218604F">
      <w:pPr>
        <w:numPr>
          <w:ilvl w:val="1"/>
          <w:numId w:val="11"/>
        </w:numPr>
        <w:spacing w:after="0" w:line="300" w:lineRule="atLeast"/>
        <w:rPr>
          <w:rFonts w:eastAsiaTheme="minorEastAsia"/>
          <w:sz w:val="22"/>
          <w:szCs w:val="22"/>
        </w:rPr>
      </w:pPr>
      <w:r>
        <w:rPr>
          <w:rFonts w:eastAsiaTheme="minorEastAsia"/>
          <w:sz w:val="22"/>
          <w:szCs w:val="22"/>
        </w:rPr>
        <w:t>University of Maryland: Covers student accommodations</w:t>
      </w:r>
      <w:r w:rsidR="00E53E85">
        <w:rPr>
          <w:rFonts w:eastAsiaTheme="minorEastAsia"/>
          <w:sz w:val="22"/>
          <w:szCs w:val="22"/>
        </w:rPr>
        <w:t xml:space="preserve"> and physical accessibility.</w:t>
      </w:r>
      <w:r w:rsidR="008B4277">
        <w:rPr>
          <w:rFonts w:eastAsiaTheme="minorEastAsia"/>
          <w:sz w:val="22"/>
          <w:szCs w:val="22"/>
        </w:rPr>
        <w:t xml:space="preserve"> Employee, program, and events not covered.</w:t>
      </w:r>
    </w:p>
    <w:p w:rsidR="00E53E85" w:rsidP="00574976" w:rsidRDefault="00E53E85" w14:paraId="5C3D0C2B" w14:textId="3B560C57">
      <w:pPr>
        <w:numPr>
          <w:ilvl w:val="1"/>
          <w:numId w:val="11"/>
        </w:numPr>
        <w:spacing w:after="0" w:line="300" w:lineRule="atLeast"/>
        <w:rPr>
          <w:rFonts w:eastAsiaTheme="minorEastAsia"/>
          <w:sz w:val="22"/>
          <w:szCs w:val="22"/>
        </w:rPr>
      </w:pPr>
      <w:r>
        <w:rPr>
          <w:rFonts w:eastAsiaTheme="minorEastAsia"/>
          <w:sz w:val="22"/>
          <w:szCs w:val="22"/>
        </w:rPr>
        <w:t xml:space="preserve">University of Iowa: </w:t>
      </w:r>
      <w:r w:rsidR="00A14A07">
        <w:rPr>
          <w:rFonts w:eastAsiaTheme="minorEastAsia"/>
          <w:sz w:val="22"/>
          <w:szCs w:val="22"/>
        </w:rPr>
        <w:t xml:space="preserve">Covers student </w:t>
      </w:r>
      <w:proofErr w:type="gramStart"/>
      <w:r w:rsidR="00A14A07">
        <w:rPr>
          <w:rFonts w:eastAsiaTheme="minorEastAsia"/>
          <w:sz w:val="22"/>
          <w:szCs w:val="22"/>
        </w:rPr>
        <w:t>accommodations</w:t>
      </w:r>
      <w:proofErr w:type="gramEnd"/>
      <w:r w:rsidR="00A14A07">
        <w:rPr>
          <w:rFonts w:eastAsiaTheme="minorEastAsia"/>
          <w:sz w:val="22"/>
          <w:szCs w:val="22"/>
        </w:rPr>
        <w:t>, recently updated to include employee accommodations</w:t>
      </w:r>
      <w:r w:rsidR="00442200">
        <w:rPr>
          <w:rFonts w:eastAsiaTheme="minorEastAsia"/>
          <w:sz w:val="22"/>
          <w:szCs w:val="22"/>
        </w:rPr>
        <w:t>.</w:t>
      </w:r>
      <w:r w:rsidR="008B4277">
        <w:rPr>
          <w:rFonts w:eastAsiaTheme="minorEastAsia"/>
          <w:sz w:val="22"/>
          <w:szCs w:val="22"/>
        </w:rPr>
        <w:t xml:space="preserve"> Program and events not covered.</w:t>
      </w:r>
    </w:p>
    <w:p w:rsidR="00442200" w:rsidP="00574976" w:rsidRDefault="00442200" w14:paraId="47335F30" w14:textId="4C22249E">
      <w:pPr>
        <w:numPr>
          <w:ilvl w:val="1"/>
          <w:numId w:val="11"/>
        </w:numPr>
        <w:spacing w:after="0" w:line="300" w:lineRule="atLeast"/>
        <w:rPr>
          <w:rFonts w:eastAsiaTheme="minorEastAsia"/>
          <w:sz w:val="22"/>
          <w:szCs w:val="22"/>
        </w:rPr>
      </w:pPr>
      <w:r>
        <w:rPr>
          <w:rFonts w:eastAsiaTheme="minorEastAsia"/>
          <w:sz w:val="22"/>
          <w:szCs w:val="22"/>
        </w:rPr>
        <w:t>Ohio State University: Mostly centralized after unit contribution of $500</w:t>
      </w:r>
      <w:r w:rsidR="00E32556">
        <w:rPr>
          <w:rFonts w:eastAsiaTheme="minorEastAsia"/>
          <w:sz w:val="22"/>
          <w:szCs w:val="22"/>
        </w:rPr>
        <w:t xml:space="preserve"> for employees, student accommodations funded through disability services office.</w:t>
      </w:r>
      <w:r w:rsidR="008B4277">
        <w:rPr>
          <w:rFonts w:eastAsiaTheme="minorEastAsia"/>
          <w:sz w:val="22"/>
          <w:szCs w:val="22"/>
        </w:rPr>
        <w:t xml:space="preserve"> Program and events not covered.</w:t>
      </w:r>
    </w:p>
    <w:p w:rsidR="008B4277" w:rsidP="00574976" w:rsidRDefault="004C2E00" w14:paraId="3C59B2BA" w14:textId="252B5D48">
      <w:pPr>
        <w:numPr>
          <w:ilvl w:val="1"/>
          <w:numId w:val="11"/>
        </w:numPr>
        <w:spacing w:after="0" w:line="300" w:lineRule="atLeast"/>
        <w:rPr>
          <w:rFonts w:eastAsiaTheme="minorEastAsia"/>
          <w:sz w:val="22"/>
          <w:szCs w:val="22"/>
        </w:rPr>
      </w:pPr>
      <w:r>
        <w:rPr>
          <w:rFonts w:eastAsiaTheme="minorEastAsia"/>
          <w:sz w:val="22"/>
          <w:szCs w:val="22"/>
        </w:rPr>
        <w:t xml:space="preserve">University of Washington: </w:t>
      </w:r>
      <w:r w:rsidR="0027522B">
        <w:rPr>
          <w:rFonts w:eastAsiaTheme="minorEastAsia"/>
          <w:sz w:val="22"/>
          <w:szCs w:val="22"/>
        </w:rPr>
        <w:t>Central funding for IT (remediation and captioning), and physical accessibility</w:t>
      </w:r>
      <w:r w:rsidR="001F7E70">
        <w:rPr>
          <w:rFonts w:eastAsiaTheme="minorEastAsia"/>
          <w:sz w:val="22"/>
          <w:szCs w:val="22"/>
        </w:rPr>
        <w:t xml:space="preserve">, student accommodations covered, employee accommodations </w:t>
      </w:r>
      <w:r w:rsidR="00332120">
        <w:rPr>
          <w:rFonts w:eastAsiaTheme="minorEastAsia"/>
          <w:sz w:val="22"/>
          <w:szCs w:val="22"/>
        </w:rPr>
        <w:t xml:space="preserve">separated: ASL/CART covered, others may </w:t>
      </w:r>
      <w:proofErr w:type="gramStart"/>
      <w:r w:rsidR="00332120">
        <w:rPr>
          <w:rFonts w:eastAsiaTheme="minorEastAsia"/>
          <w:sz w:val="22"/>
          <w:szCs w:val="22"/>
        </w:rPr>
        <w:t>be split</w:t>
      </w:r>
      <w:proofErr w:type="gramEnd"/>
      <w:r w:rsidR="00332120">
        <w:rPr>
          <w:rFonts w:eastAsiaTheme="minorEastAsia"/>
          <w:sz w:val="22"/>
          <w:szCs w:val="22"/>
        </w:rPr>
        <w:t xml:space="preserve"> with unit.</w:t>
      </w:r>
    </w:p>
    <w:p w:rsidRPr="0004518C" w:rsidR="002D5697" w:rsidP="0004518C" w:rsidRDefault="00B318F1" w14:paraId="695BF342" w14:textId="0E1776D2">
      <w:pPr>
        <w:numPr>
          <w:ilvl w:val="1"/>
          <w:numId w:val="11"/>
        </w:numPr>
        <w:spacing w:after="0" w:line="300" w:lineRule="atLeast"/>
        <w:rPr>
          <w:rFonts w:eastAsiaTheme="minorEastAsia"/>
          <w:sz w:val="22"/>
          <w:szCs w:val="22"/>
        </w:rPr>
      </w:pPr>
      <w:r>
        <w:rPr>
          <w:rFonts w:eastAsiaTheme="minorEastAsia"/>
          <w:sz w:val="22"/>
          <w:szCs w:val="22"/>
        </w:rPr>
        <w:t xml:space="preserve">University of Maryland: student accommodations covered including non-academic areas not covered by disability services office, </w:t>
      </w:r>
      <w:r w:rsidR="002D5697">
        <w:rPr>
          <w:rFonts w:eastAsiaTheme="minorEastAsia"/>
          <w:sz w:val="22"/>
          <w:szCs w:val="22"/>
        </w:rPr>
        <w:t xml:space="preserve">central funding for employment over $5000 or where $5000 represents undue hardship. </w:t>
      </w:r>
    </w:p>
    <w:p w:rsidR="49357848" w:rsidP="7EF1B1C7" w:rsidRDefault="49357848" w14:paraId="4A732158" w14:textId="6E9BF54D">
      <w:pPr>
        <w:pStyle w:val="Heading4"/>
        <w:rPr>
          <w:rFonts w:eastAsiaTheme="minorEastAsia" w:cstheme="minorBidi"/>
        </w:rPr>
      </w:pPr>
      <w:r w:rsidRPr="7EF1B1C7">
        <w:rPr>
          <w:rFonts w:eastAsiaTheme="minorEastAsia" w:cstheme="minorBidi"/>
        </w:rPr>
        <w:t>Implementing Recommendation No. 1.2</w:t>
      </w:r>
    </w:p>
    <w:p w:rsidR="007F46D9" w:rsidP="7EF1B1C7" w:rsidRDefault="56975D6A" w14:paraId="0ED46644" w14:textId="72E7F794">
      <w:pPr>
        <w:pStyle w:val="Heading5"/>
        <w:rPr>
          <w:rFonts w:eastAsiaTheme="minorEastAsia" w:cstheme="minorBidi"/>
        </w:rPr>
      </w:pPr>
      <w:r w:rsidRPr="7EF1B1C7">
        <w:rPr>
          <w:rFonts w:eastAsiaTheme="minorEastAsia" w:cstheme="minorBidi"/>
        </w:rPr>
        <w:t>1.</w:t>
      </w:r>
      <w:r w:rsidRPr="7EF1B1C7" w:rsidR="2735B4AA">
        <w:rPr>
          <w:rFonts w:eastAsiaTheme="minorEastAsia" w:cstheme="minorBidi"/>
        </w:rPr>
        <w:t>2</w:t>
      </w:r>
      <w:r w:rsidRPr="7EF1B1C7">
        <w:rPr>
          <w:rFonts w:eastAsiaTheme="minorEastAsia" w:cstheme="minorBidi"/>
        </w:rPr>
        <w:t xml:space="preserve">: Transition to a fully Centralized Funding Model as part of ongoing budget discussions and inclusion in MSU Budget Model Redesign project: </w:t>
      </w:r>
    </w:p>
    <w:p w:rsidRPr="007F46D9" w:rsidR="007F46D9" w:rsidP="7EF1B1C7" w:rsidRDefault="5D8B67E5" w14:paraId="0C91FEA5" w14:textId="7CB1F4DC">
      <w:pPr>
        <w:rPr>
          <w:rFonts w:eastAsiaTheme="minorEastAsia"/>
          <w:sz w:val="22"/>
          <w:szCs w:val="22"/>
        </w:rPr>
      </w:pPr>
      <w:r w:rsidRPr="7EF1B1C7">
        <w:rPr>
          <w:rFonts w:eastAsiaTheme="minorEastAsia"/>
          <w:sz w:val="22"/>
          <w:szCs w:val="22"/>
        </w:rPr>
        <w:t>As MSU redesigns its budget model, PACDI recommends formally integrating a centrally funded accommodation structure</w:t>
      </w:r>
      <w:r w:rsidRPr="7EF1B1C7" w:rsidR="4E46C0A4">
        <w:rPr>
          <w:rFonts w:eastAsiaTheme="minorEastAsia"/>
          <w:sz w:val="22"/>
          <w:szCs w:val="22"/>
        </w:rPr>
        <w:t>.</w:t>
      </w:r>
      <w:r w:rsidRPr="7EF1B1C7">
        <w:rPr>
          <w:rFonts w:eastAsiaTheme="minorEastAsia"/>
          <w:sz w:val="22"/>
          <w:szCs w:val="22"/>
        </w:rPr>
        <w:t xml:space="preserve"> This includes central funding for accommodations across all populations</w:t>
      </w:r>
      <w:r w:rsidRPr="7EF1B1C7" w:rsidR="5CC4CF61">
        <w:rPr>
          <w:rFonts w:eastAsiaTheme="minorEastAsia"/>
          <w:sz w:val="22"/>
          <w:szCs w:val="22"/>
        </w:rPr>
        <w:t xml:space="preserve"> including </w:t>
      </w:r>
      <w:r w:rsidRPr="7EF1B1C7">
        <w:rPr>
          <w:rFonts w:eastAsiaTheme="minorEastAsia"/>
          <w:sz w:val="22"/>
          <w:szCs w:val="22"/>
        </w:rPr>
        <w:t>students, employees, program participants, and visitors</w:t>
      </w:r>
      <w:r w:rsidRPr="7EF1B1C7" w:rsidR="4C55AD96">
        <w:rPr>
          <w:rFonts w:eastAsiaTheme="minorEastAsia"/>
          <w:sz w:val="22"/>
          <w:szCs w:val="22"/>
        </w:rPr>
        <w:t xml:space="preserve"> </w:t>
      </w:r>
      <w:r w:rsidRPr="7EF1B1C7">
        <w:rPr>
          <w:rFonts w:eastAsiaTheme="minorEastAsia"/>
          <w:sz w:val="22"/>
          <w:szCs w:val="22"/>
        </w:rPr>
        <w:t xml:space="preserve">as well as a sustainable annual budgeting mechanism informed by reliable expenditure data. Embedding this within the Budget Model Redesign process ensures </w:t>
      </w:r>
      <w:r w:rsidRPr="7EF1B1C7" w:rsidR="7BBF27AA">
        <w:rPr>
          <w:rFonts w:eastAsiaTheme="minorEastAsia"/>
          <w:sz w:val="22"/>
          <w:szCs w:val="22"/>
        </w:rPr>
        <w:t>long term</w:t>
      </w:r>
      <w:r w:rsidRPr="7EF1B1C7">
        <w:rPr>
          <w:rFonts w:eastAsiaTheme="minorEastAsia"/>
          <w:sz w:val="22"/>
          <w:szCs w:val="22"/>
        </w:rPr>
        <w:t xml:space="preserve"> alignment, transparency, and financial stewardship consistent with institutional priorities.</w:t>
      </w:r>
      <w:r w:rsidRPr="7EF1B1C7" w:rsidR="2B3029F6">
        <w:rPr>
          <w:rFonts w:eastAsiaTheme="minorEastAsia"/>
          <w:sz w:val="22"/>
          <w:szCs w:val="22"/>
        </w:rPr>
        <w:t xml:space="preserve"> </w:t>
      </w:r>
    </w:p>
    <w:p w:rsidR="4673D694" w:rsidP="7EF1B1C7" w:rsidRDefault="4673D694" w14:paraId="6AD18F0B" w14:textId="10136656">
      <w:pPr>
        <w:numPr>
          <w:ilvl w:val="0"/>
          <w:numId w:val="11"/>
        </w:numPr>
        <w:spacing w:after="0" w:line="300" w:lineRule="atLeast"/>
        <w:rPr>
          <w:rFonts w:eastAsiaTheme="minorEastAsia"/>
          <w:sz w:val="22"/>
          <w:szCs w:val="22"/>
        </w:rPr>
      </w:pPr>
      <w:r w:rsidRPr="7EF1B1C7">
        <w:rPr>
          <w:rFonts w:eastAsiaTheme="minorEastAsia"/>
          <w:sz w:val="22"/>
          <w:szCs w:val="22"/>
        </w:rPr>
        <w:t>Identification of unit to oversee Centralized Funding:</w:t>
      </w:r>
    </w:p>
    <w:p w:rsidR="4673D694" w:rsidP="7EF1B1C7" w:rsidRDefault="4673D694" w14:paraId="770AE192" w14:textId="75156295">
      <w:pPr>
        <w:numPr>
          <w:ilvl w:val="1"/>
          <w:numId w:val="11"/>
        </w:numPr>
        <w:spacing w:after="0" w:line="300" w:lineRule="atLeast"/>
        <w:rPr>
          <w:rFonts w:eastAsiaTheme="minorEastAsia"/>
          <w:sz w:val="22"/>
          <w:szCs w:val="22"/>
        </w:rPr>
      </w:pPr>
      <w:r w:rsidRPr="7EF1B1C7">
        <w:rPr>
          <w:rFonts w:eastAsiaTheme="minorEastAsia"/>
          <w:sz w:val="22"/>
          <w:szCs w:val="22"/>
        </w:rPr>
        <w:t xml:space="preserve">Approved RCPD/ELR accommodations </w:t>
      </w:r>
      <w:proofErr w:type="gramStart"/>
      <w:r w:rsidRPr="7EF1B1C7">
        <w:rPr>
          <w:rFonts w:eastAsiaTheme="minorEastAsia"/>
          <w:sz w:val="22"/>
          <w:szCs w:val="22"/>
        </w:rPr>
        <w:t>funded</w:t>
      </w:r>
      <w:proofErr w:type="gramEnd"/>
    </w:p>
    <w:p w:rsidR="4673D694" w:rsidP="7EF1B1C7" w:rsidRDefault="4673D694" w14:paraId="67E0BD83" w14:textId="72F93198">
      <w:pPr>
        <w:numPr>
          <w:ilvl w:val="1"/>
          <w:numId w:val="11"/>
        </w:numPr>
        <w:spacing w:after="0" w:line="300" w:lineRule="atLeast"/>
        <w:rPr>
          <w:rFonts w:eastAsiaTheme="minorEastAsia"/>
          <w:sz w:val="22"/>
          <w:szCs w:val="22"/>
        </w:rPr>
      </w:pPr>
      <w:r w:rsidRPr="7EF1B1C7">
        <w:rPr>
          <w:rFonts w:eastAsiaTheme="minorEastAsia"/>
          <w:sz w:val="22"/>
          <w:szCs w:val="22"/>
        </w:rPr>
        <w:t xml:space="preserve">Cross-campus committee for digital, physical, and other accommodation costs outside of RCPD/ELR approved accommodations or a designated office to review and </w:t>
      </w:r>
      <w:r w:rsidRPr="7EF1B1C7" w:rsidR="006A7A8A">
        <w:rPr>
          <w:rFonts w:eastAsiaTheme="minorEastAsia"/>
          <w:sz w:val="22"/>
          <w:szCs w:val="22"/>
        </w:rPr>
        <w:t>approve.</w:t>
      </w:r>
    </w:p>
    <w:p w:rsidR="4673D694" w:rsidP="7EF1B1C7" w:rsidRDefault="4673D694" w14:paraId="01D4AC78" w14:textId="00B55588">
      <w:pPr>
        <w:numPr>
          <w:ilvl w:val="0"/>
          <w:numId w:val="11"/>
        </w:numPr>
        <w:spacing w:after="0" w:line="300" w:lineRule="atLeast"/>
        <w:rPr>
          <w:rFonts w:eastAsiaTheme="minorEastAsia"/>
          <w:sz w:val="22"/>
          <w:szCs w:val="22"/>
        </w:rPr>
      </w:pPr>
      <w:r w:rsidRPr="7EF1B1C7">
        <w:rPr>
          <w:rFonts w:eastAsiaTheme="minorEastAsia"/>
          <w:sz w:val="22"/>
          <w:szCs w:val="22"/>
        </w:rPr>
        <w:t xml:space="preserve">The University of Wisconsin model offers a comprehensive central fund covering students, employees, program participants, and visitors, with established cost projection and </w:t>
      </w:r>
      <w:proofErr w:type="gramStart"/>
      <w:r w:rsidRPr="7EF1B1C7">
        <w:rPr>
          <w:rFonts w:eastAsiaTheme="minorEastAsia"/>
          <w:sz w:val="22"/>
          <w:szCs w:val="22"/>
        </w:rPr>
        <w:t>a proactive</w:t>
      </w:r>
      <w:proofErr w:type="gramEnd"/>
      <w:r w:rsidRPr="7EF1B1C7">
        <w:rPr>
          <w:rFonts w:eastAsiaTheme="minorEastAsia"/>
          <w:sz w:val="22"/>
          <w:szCs w:val="22"/>
        </w:rPr>
        <w:t>, compliance plus approach. See Addendum A.</w:t>
      </w:r>
      <w:r w:rsidR="004B1FC1">
        <w:rPr>
          <w:rFonts w:eastAsiaTheme="minorEastAsia"/>
          <w:sz w:val="22"/>
          <w:szCs w:val="22"/>
        </w:rPr>
        <w:br/>
      </w:r>
    </w:p>
    <w:p w:rsidRPr="00013FFE" w:rsidR="00013FFE" w:rsidP="7EF1B1C7" w:rsidRDefault="1E827491" w14:paraId="17473AB1" w14:textId="50841374">
      <w:pPr>
        <w:rPr>
          <w:rFonts w:eastAsiaTheme="minorEastAsia"/>
          <w:sz w:val="22"/>
          <w:szCs w:val="22"/>
        </w:rPr>
      </w:pPr>
      <w:r w:rsidRPr="7EF1B1C7">
        <w:rPr>
          <w:rFonts w:eastAsiaTheme="minorEastAsia"/>
          <w:sz w:val="22"/>
          <w:szCs w:val="22"/>
        </w:rPr>
        <w:t xml:space="preserve">Together, these steps create a clear, scalable path toward a comprehensive central funding model. Establishing the object code provides the data foundation and embedding the central fund into the Budget Model Redesign ensures that MSU develops a durable, equitable, and </w:t>
      </w:r>
      <w:proofErr w:type="gramStart"/>
      <w:r w:rsidRPr="7EF1B1C7">
        <w:rPr>
          <w:rFonts w:eastAsiaTheme="minorEastAsia"/>
          <w:sz w:val="22"/>
          <w:szCs w:val="22"/>
        </w:rPr>
        <w:t>proactive</w:t>
      </w:r>
      <w:proofErr w:type="gramEnd"/>
      <w:r w:rsidRPr="7EF1B1C7">
        <w:rPr>
          <w:rFonts w:eastAsiaTheme="minorEastAsia"/>
          <w:sz w:val="22"/>
          <w:szCs w:val="22"/>
        </w:rPr>
        <w:t xml:space="preserve"> system for </w:t>
      </w:r>
      <w:r w:rsidRPr="7EF1B1C7" w:rsidR="006A7A8A">
        <w:rPr>
          <w:rFonts w:eastAsiaTheme="minorEastAsia"/>
          <w:sz w:val="22"/>
          <w:szCs w:val="22"/>
        </w:rPr>
        <w:t>accessibility</w:t>
      </w:r>
      <w:r w:rsidRPr="7EF1B1C7">
        <w:rPr>
          <w:rFonts w:eastAsiaTheme="minorEastAsia"/>
          <w:sz w:val="22"/>
          <w:szCs w:val="22"/>
        </w:rPr>
        <w:t xml:space="preserve"> </w:t>
      </w:r>
      <w:r w:rsidR="006A7A8A">
        <w:rPr>
          <w:rFonts w:eastAsiaTheme="minorEastAsia"/>
          <w:sz w:val="22"/>
          <w:szCs w:val="22"/>
        </w:rPr>
        <w:t>and</w:t>
      </w:r>
      <w:r w:rsidR="002004A5">
        <w:rPr>
          <w:rFonts w:eastAsiaTheme="minorEastAsia"/>
          <w:sz w:val="22"/>
          <w:szCs w:val="22"/>
        </w:rPr>
        <w:t xml:space="preserve"> disability</w:t>
      </w:r>
      <w:r w:rsidR="006A7A8A">
        <w:rPr>
          <w:rFonts w:eastAsiaTheme="minorEastAsia"/>
          <w:sz w:val="22"/>
          <w:szCs w:val="22"/>
        </w:rPr>
        <w:t xml:space="preserve"> </w:t>
      </w:r>
      <w:proofErr w:type="gramStart"/>
      <w:r w:rsidR="006A7A8A">
        <w:rPr>
          <w:rFonts w:eastAsiaTheme="minorEastAsia"/>
          <w:sz w:val="22"/>
          <w:szCs w:val="22"/>
        </w:rPr>
        <w:t>accommodations</w:t>
      </w:r>
      <w:proofErr w:type="gramEnd"/>
      <w:r w:rsidR="006A7A8A">
        <w:rPr>
          <w:rFonts w:eastAsiaTheme="minorEastAsia"/>
          <w:sz w:val="22"/>
          <w:szCs w:val="22"/>
        </w:rPr>
        <w:t xml:space="preserve"> </w:t>
      </w:r>
      <w:r w:rsidRPr="7EF1B1C7">
        <w:rPr>
          <w:rFonts w:eastAsiaTheme="minorEastAsia"/>
          <w:sz w:val="22"/>
          <w:szCs w:val="22"/>
        </w:rPr>
        <w:t>across the university.</w:t>
      </w:r>
    </w:p>
    <w:p w:rsidR="00B90DD0" w:rsidP="7EF1B1C7" w:rsidRDefault="3C1A86B5" w14:paraId="39950102" w14:textId="6DCB80CD">
      <w:pPr>
        <w:pStyle w:val="Heading3"/>
        <w:numPr>
          <w:ilvl w:val="0"/>
          <w:numId w:val="24"/>
        </w:numPr>
        <w:rPr>
          <w:rFonts w:eastAsiaTheme="minorEastAsia" w:cstheme="minorBidi"/>
        </w:rPr>
      </w:pPr>
      <w:r w:rsidRPr="7EF1B1C7">
        <w:rPr>
          <w:rFonts w:eastAsiaTheme="minorEastAsia" w:cstheme="minorBidi"/>
        </w:rPr>
        <w:t>Development of a Centralized Disability and Accessibility Information Website</w:t>
      </w:r>
    </w:p>
    <w:p w:rsidR="3C1A86B5" w:rsidP="7EF1B1C7" w:rsidRDefault="3C1A86B5" w14:paraId="0DD88412" w14:textId="24B4B575">
      <w:pPr>
        <w:spacing w:after="0" w:line="300" w:lineRule="auto"/>
        <w:rPr>
          <w:rFonts w:eastAsiaTheme="minorEastAsia"/>
          <w:sz w:val="22"/>
          <w:szCs w:val="22"/>
        </w:rPr>
      </w:pPr>
      <w:r w:rsidRPr="7EF1B1C7">
        <w:rPr>
          <w:rFonts w:eastAsiaTheme="minorEastAsia"/>
          <w:sz w:val="22"/>
          <w:szCs w:val="22"/>
        </w:rPr>
        <w:t>PACDI recommends the creation of a university-wide Disability &amp; Accessibility Information Website that serves as a centralized, welcoming, and easy-to-navigate hub for all disability- and accessibility-related information at Michigan State University. This site will provide students, employees, visitors, families, and members of the public with a clear and consistent starting point for understanding available resources and navigating processes across MSU’s decentralized environment.</w:t>
      </w:r>
    </w:p>
    <w:p w:rsidR="6609D420" w:rsidP="7EF1B1C7" w:rsidRDefault="6609D420" w14:paraId="09F34DD0" w14:textId="3F01F8A7">
      <w:pPr>
        <w:pStyle w:val="Heading4"/>
        <w:rPr>
          <w:rFonts w:eastAsiaTheme="minorEastAsia" w:cstheme="minorBidi"/>
        </w:rPr>
      </w:pPr>
      <w:r w:rsidRPr="7EF1B1C7">
        <w:rPr>
          <w:rFonts w:eastAsiaTheme="minorEastAsia" w:cstheme="minorBidi"/>
        </w:rPr>
        <w:t>Rationale for Recommendation No. 2</w:t>
      </w:r>
    </w:p>
    <w:p w:rsidR="3C1A86B5" w:rsidP="7EF1B1C7" w:rsidRDefault="3C1A86B5" w14:paraId="46F32435" w14:textId="4F5F56F6">
      <w:pPr>
        <w:spacing w:before="210" w:after="210" w:line="300" w:lineRule="auto"/>
        <w:rPr>
          <w:rFonts w:eastAsiaTheme="minorEastAsia"/>
          <w:sz w:val="22"/>
          <w:szCs w:val="22"/>
        </w:rPr>
      </w:pPr>
      <w:r w:rsidRPr="7EF1B1C7">
        <w:rPr>
          <w:rFonts w:eastAsiaTheme="minorEastAsia"/>
          <w:sz w:val="22"/>
          <w:szCs w:val="22"/>
        </w:rPr>
        <w:t xml:space="preserve">Michigan State University’s size and organizational complexity mean that disability and accessibility resources </w:t>
      </w:r>
      <w:proofErr w:type="gramStart"/>
      <w:r w:rsidRPr="7EF1B1C7">
        <w:rPr>
          <w:rFonts w:eastAsiaTheme="minorEastAsia"/>
          <w:sz w:val="22"/>
          <w:szCs w:val="22"/>
        </w:rPr>
        <w:t>are currently maintained</w:t>
      </w:r>
      <w:proofErr w:type="gramEnd"/>
      <w:r w:rsidRPr="7EF1B1C7">
        <w:rPr>
          <w:rFonts w:eastAsiaTheme="minorEastAsia"/>
          <w:sz w:val="22"/>
          <w:szCs w:val="22"/>
        </w:rPr>
        <w:t xml:space="preserve"> across </w:t>
      </w:r>
      <w:proofErr w:type="gramStart"/>
      <w:r w:rsidRPr="7EF1B1C7">
        <w:rPr>
          <w:rFonts w:eastAsiaTheme="minorEastAsia"/>
          <w:sz w:val="22"/>
          <w:szCs w:val="22"/>
        </w:rPr>
        <w:t>numerous</w:t>
      </w:r>
      <w:proofErr w:type="gramEnd"/>
      <w:r w:rsidRPr="7EF1B1C7">
        <w:rPr>
          <w:rFonts w:eastAsiaTheme="minorEastAsia"/>
          <w:sz w:val="22"/>
          <w:szCs w:val="22"/>
        </w:rPr>
        <w:t xml:space="preserve"> unit-level websites. While each unit appropriately manages its own information, this distributed structure can make it challenging for individuals to efficiently locate the guidance, services, or contacts they need.</w:t>
      </w:r>
    </w:p>
    <w:p w:rsidR="3C1A86B5" w:rsidP="7EF1B1C7" w:rsidRDefault="3C1A86B5" w14:paraId="48125B5C" w14:textId="2D77BE42">
      <w:pPr>
        <w:spacing w:before="210" w:after="210" w:line="300" w:lineRule="auto"/>
        <w:rPr>
          <w:rFonts w:eastAsiaTheme="minorEastAsia"/>
          <w:sz w:val="22"/>
          <w:szCs w:val="22"/>
        </w:rPr>
      </w:pPr>
      <w:r w:rsidRPr="7EF1B1C7">
        <w:rPr>
          <w:rFonts w:eastAsiaTheme="minorEastAsia"/>
          <w:sz w:val="22"/>
          <w:szCs w:val="22"/>
        </w:rPr>
        <w:t>A centralized Disability &amp; Accessibility Information Website would:</w:t>
      </w:r>
    </w:p>
    <w:p w:rsidR="3C1A86B5" w:rsidP="7EF1B1C7" w:rsidRDefault="3C1A86B5" w14:paraId="35BBB99A" w14:textId="13707319">
      <w:pPr>
        <w:pStyle w:val="ListParagraph"/>
        <w:numPr>
          <w:ilvl w:val="0"/>
          <w:numId w:val="37"/>
        </w:numPr>
        <w:spacing w:after="0" w:line="300" w:lineRule="auto"/>
        <w:rPr>
          <w:rFonts w:eastAsiaTheme="minorEastAsia"/>
          <w:sz w:val="22"/>
          <w:szCs w:val="22"/>
        </w:rPr>
      </w:pPr>
      <w:r w:rsidRPr="7EF1B1C7">
        <w:rPr>
          <w:rFonts w:eastAsiaTheme="minorEastAsia"/>
          <w:sz w:val="22"/>
          <w:szCs w:val="22"/>
        </w:rPr>
        <w:t>Create a single, user-friendly entry point for all audiences seeking disability-related information.</w:t>
      </w:r>
    </w:p>
    <w:p w:rsidR="3C1A86B5" w:rsidP="7EF1B1C7" w:rsidRDefault="3C1A86B5" w14:paraId="65854EB9" w14:textId="3C267266">
      <w:pPr>
        <w:pStyle w:val="ListParagraph"/>
        <w:numPr>
          <w:ilvl w:val="0"/>
          <w:numId w:val="37"/>
        </w:numPr>
        <w:spacing w:after="0" w:line="300" w:lineRule="auto"/>
        <w:rPr>
          <w:rFonts w:eastAsiaTheme="minorEastAsia"/>
          <w:sz w:val="22"/>
          <w:szCs w:val="22"/>
        </w:rPr>
      </w:pPr>
      <w:r w:rsidRPr="7EF1B1C7">
        <w:rPr>
          <w:rFonts w:eastAsiaTheme="minorEastAsia"/>
          <w:sz w:val="22"/>
          <w:szCs w:val="22"/>
        </w:rPr>
        <w:t>Improve visibility and discoverability of resources that already exist across MSU.</w:t>
      </w:r>
    </w:p>
    <w:p w:rsidR="3C1A86B5" w:rsidP="7EF1B1C7" w:rsidRDefault="3C1A86B5" w14:paraId="2A3C9439" w14:textId="437C1AAB">
      <w:pPr>
        <w:pStyle w:val="ListParagraph"/>
        <w:numPr>
          <w:ilvl w:val="0"/>
          <w:numId w:val="37"/>
        </w:numPr>
        <w:spacing w:after="0" w:line="300" w:lineRule="auto"/>
        <w:rPr>
          <w:rFonts w:eastAsiaTheme="minorEastAsia"/>
          <w:sz w:val="22"/>
          <w:szCs w:val="22"/>
        </w:rPr>
      </w:pPr>
      <w:r w:rsidRPr="7EF1B1C7">
        <w:rPr>
          <w:rFonts w:eastAsiaTheme="minorEastAsia"/>
          <w:sz w:val="22"/>
          <w:szCs w:val="22"/>
        </w:rPr>
        <w:t>Support equitable access by reducing the time and effort required to locate essential information.</w:t>
      </w:r>
    </w:p>
    <w:p w:rsidR="3C1A86B5" w:rsidP="7EF1B1C7" w:rsidRDefault="3C1A86B5" w14:paraId="0BAB00F9" w14:textId="1E3E8B29">
      <w:pPr>
        <w:pStyle w:val="ListParagraph"/>
        <w:numPr>
          <w:ilvl w:val="0"/>
          <w:numId w:val="37"/>
        </w:numPr>
        <w:spacing w:after="0" w:line="300" w:lineRule="auto"/>
        <w:rPr>
          <w:rFonts w:eastAsiaTheme="minorEastAsia"/>
          <w:sz w:val="22"/>
          <w:szCs w:val="22"/>
        </w:rPr>
      </w:pPr>
      <w:r w:rsidRPr="7EF1B1C7">
        <w:rPr>
          <w:rFonts w:eastAsiaTheme="minorEastAsia"/>
          <w:sz w:val="22"/>
          <w:szCs w:val="22"/>
        </w:rPr>
        <w:t>Reinforce MSU’s commitment to access, opportunity, and excellence by delivering a cohesive public-facing resource.</w:t>
      </w:r>
    </w:p>
    <w:p w:rsidR="3C1A86B5" w:rsidP="34A2C28A" w:rsidRDefault="1D8DFFE0" w14:paraId="6517C0BF" w14:textId="04F17A21">
      <w:pPr>
        <w:spacing w:before="210" w:after="210" w:line="300" w:lineRule="auto"/>
        <w:rPr>
          <w:rFonts w:eastAsiaTheme="minorEastAsia"/>
          <w:sz w:val="22"/>
          <w:szCs w:val="22"/>
        </w:rPr>
      </w:pPr>
      <w:r w:rsidRPr="7EF1B1C7">
        <w:rPr>
          <w:rFonts w:eastAsiaTheme="minorEastAsia"/>
          <w:sz w:val="22"/>
          <w:szCs w:val="22"/>
        </w:rPr>
        <w:t xml:space="preserve">MSU </w:t>
      </w:r>
      <w:r w:rsidRPr="7EF1B1C7" w:rsidR="00043E01">
        <w:rPr>
          <w:rFonts w:eastAsiaTheme="minorEastAsia"/>
          <w:sz w:val="22"/>
          <w:szCs w:val="22"/>
        </w:rPr>
        <w:t>stakeholders,</w:t>
      </w:r>
      <w:r w:rsidRPr="7EF1B1C7" w:rsidR="1479C17F">
        <w:rPr>
          <w:rFonts w:eastAsiaTheme="minorEastAsia"/>
          <w:sz w:val="22"/>
          <w:szCs w:val="22"/>
        </w:rPr>
        <w:t xml:space="preserve"> </w:t>
      </w:r>
      <w:r w:rsidRPr="7EF1B1C7">
        <w:rPr>
          <w:rFonts w:eastAsiaTheme="minorEastAsia"/>
          <w:sz w:val="22"/>
          <w:szCs w:val="22"/>
        </w:rPr>
        <w:t>including students, employees, event planners, campus visitors, and members of the public</w:t>
      </w:r>
      <w:r w:rsidRPr="7EF1B1C7" w:rsidR="174EDEB6">
        <w:rPr>
          <w:rFonts w:eastAsiaTheme="minorEastAsia"/>
          <w:sz w:val="22"/>
          <w:szCs w:val="22"/>
        </w:rPr>
        <w:t xml:space="preserve"> </w:t>
      </w:r>
      <w:r w:rsidRPr="7EF1B1C7">
        <w:rPr>
          <w:rFonts w:eastAsiaTheme="minorEastAsia"/>
          <w:sz w:val="22"/>
          <w:szCs w:val="22"/>
        </w:rPr>
        <w:t>regularly search for disability-related information such as:</w:t>
      </w:r>
    </w:p>
    <w:p w:rsidR="3C1A86B5" w:rsidP="7EF1B1C7" w:rsidRDefault="3C1A86B5" w14:paraId="1A9BFD1F" w14:textId="1BED1FCF">
      <w:pPr>
        <w:pStyle w:val="ListParagraph"/>
        <w:numPr>
          <w:ilvl w:val="0"/>
          <w:numId w:val="10"/>
        </w:numPr>
        <w:spacing w:after="0" w:line="300" w:lineRule="auto"/>
        <w:rPr>
          <w:rFonts w:eastAsiaTheme="minorEastAsia"/>
          <w:sz w:val="22"/>
          <w:szCs w:val="22"/>
        </w:rPr>
      </w:pPr>
      <w:r w:rsidRPr="7EF1B1C7">
        <w:rPr>
          <w:rFonts w:eastAsiaTheme="minorEastAsia"/>
          <w:sz w:val="22"/>
          <w:szCs w:val="22"/>
        </w:rPr>
        <w:t xml:space="preserve">How to request </w:t>
      </w:r>
      <w:proofErr w:type="gramStart"/>
      <w:r w:rsidRPr="7EF1B1C7">
        <w:rPr>
          <w:rFonts w:eastAsiaTheme="minorEastAsia"/>
          <w:sz w:val="22"/>
          <w:szCs w:val="22"/>
        </w:rPr>
        <w:t>accommodations</w:t>
      </w:r>
      <w:proofErr w:type="gramEnd"/>
    </w:p>
    <w:p w:rsidR="3C1A86B5" w:rsidP="7EF1B1C7" w:rsidRDefault="3C1A86B5" w14:paraId="5772F0ED" w14:textId="02AB5267">
      <w:pPr>
        <w:pStyle w:val="ListParagraph"/>
        <w:numPr>
          <w:ilvl w:val="0"/>
          <w:numId w:val="10"/>
        </w:numPr>
        <w:spacing w:after="0" w:line="300" w:lineRule="auto"/>
        <w:rPr>
          <w:rFonts w:eastAsiaTheme="minorEastAsia"/>
          <w:sz w:val="22"/>
          <w:szCs w:val="22"/>
        </w:rPr>
      </w:pPr>
      <w:r w:rsidRPr="7EF1B1C7">
        <w:rPr>
          <w:rFonts w:eastAsiaTheme="minorEastAsia"/>
          <w:sz w:val="22"/>
          <w:szCs w:val="22"/>
        </w:rPr>
        <w:t>Accessible campus routes and parking</w:t>
      </w:r>
    </w:p>
    <w:p w:rsidR="3C1A86B5" w:rsidP="7EF1B1C7" w:rsidRDefault="3C1A86B5" w14:paraId="449FFE7D" w14:textId="0C96E3CF">
      <w:pPr>
        <w:pStyle w:val="ListParagraph"/>
        <w:numPr>
          <w:ilvl w:val="0"/>
          <w:numId w:val="10"/>
        </w:numPr>
        <w:spacing w:after="0" w:line="300" w:lineRule="auto"/>
        <w:rPr>
          <w:rFonts w:eastAsiaTheme="minorEastAsia"/>
          <w:sz w:val="22"/>
          <w:szCs w:val="22"/>
        </w:rPr>
      </w:pPr>
      <w:r w:rsidRPr="7EF1B1C7">
        <w:rPr>
          <w:rFonts w:eastAsiaTheme="minorEastAsia"/>
          <w:sz w:val="22"/>
          <w:szCs w:val="22"/>
        </w:rPr>
        <w:t>ASL/CART vendor information</w:t>
      </w:r>
    </w:p>
    <w:p w:rsidR="3C1A86B5" w:rsidP="7EF1B1C7" w:rsidRDefault="3C1A86B5" w14:paraId="06C1EC75" w14:textId="19000B62">
      <w:pPr>
        <w:pStyle w:val="ListParagraph"/>
        <w:numPr>
          <w:ilvl w:val="0"/>
          <w:numId w:val="10"/>
        </w:numPr>
        <w:spacing w:after="0" w:line="300" w:lineRule="auto"/>
        <w:rPr>
          <w:rFonts w:eastAsiaTheme="minorEastAsia"/>
          <w:sz w:val="22"/>
          <w:szCs w:val="22"/>
        </w:rPr>
      </w:pPr>
      <w:r w:rsidRPr="7EF1B1C7">
        <w:rPr>
          <w:rFonts w:eastAsiaTheme="minorEastAsia"/>
          <w:sz w:val="22"/>
          <w:szCs w:val="22"/>
        </w:rPr>
        <w:t>Accessible event planning guidance</w:t>
      </w:r>
    </w:p>
    <w:p w:rsidR="3C1A86B5" w:rsidP="7EF1B1C7" w:rsidRDefault="3C1A86B5" w14:paraId="0409D93F" w14:textId="66ED71E9">
      <w:pPr>
        <w:pStyle w:val="ListParagraph"/>
        <w:numPr>
          <w:ilvl w:val="0"/>
          <w:numId w:val="10"/>
        </w:numPr>
        <w:spacing w:after="0" w:line="300" w:lineRule="auto"/>
        <w:rPr>
          <w:rFonts w:eastAsiaTheme="minorEastAsia"/>
          <w:sz w:val="22"/>
          <w:szCs w:val="22"/>
        </w:rPr>
      </w:pPr>
      <w:r w:rsidRPr="7EF1B1C7">
        <w:rPr>
          <w:rFonts w:eastAsiaTheme="minorEastAsia"/>
          <w:sz w:val="22"/>
          <w:szCs w:val="22"/>
        </w:rPr>
        <w:t>Digital accessibility resources</w:t>
      </w:r>
    </w:p>
    <w:p w:rsidR="3C1A86B5" w:rsidP="7EF1B1C7" w:rsidRDefault="3C1A86B5" w14:paraId="6E426910" w14:textId="38400F51">
      <w:pPr>
        <w:pStyle w:val="ListParagraph"/>
        <w:numPr>
          <w:ilvl w:val="0"/>
          <w:numId w:val="10"/>
        </w:numPr>
        <w:spacing w:after="0" w:line="300" w:lineRule="auto"/>
        <w:rPr>
          <w:rFonts w:eastAsiaTheme="minorEastAsia"/>
          <w:sz w:val="22"/>
          <w:szCs w:val="22"/>
        </w:rPr>
      </w:pPr>
      <w:r w:rsidRPr="7EF1B1C7">
        <w:rPr>
          <w:rFonts w:eastAsiaTheme="minorEastAsia"/>
          <w:sz w:val="22"/>
          <w:szCs w:val="22"/>
        </w:rPr>
        <w:t>Adaptive sports and recreation</w:t>
      </w:r>
    </w:p>
    <w:p w:rsidR="3C1A86B5" w:rsidP="7EF1B1C7" w:rsidRDefault="3C1A86B5" w14:paraId="170A731C" w14:textId="0EC8AE91">
      <w:pPr>
        <w:pStyle w:val="ListParagraph"/>
        <w:numPr>
          <w:ilvl w:val="0"/>
          <w:numId w:val="10"/>
        </w:numPr>
        <w:spacing w:after="0" w:line="300" w:lineRule="auto"/>
        <w:rPr>
          <w:rFonts w:eastAsiaTheme="minorEastAsia"/>
          <w:sz w:val="22"/>
          <w:szCs w:val="22"/>
        </w:rPr>
      </w:pPr>
      <w:r w:rsidRPr="7EF1B1C7">
        <w:rPr>
          <w:rFonts w:eastAsiaTheme="minorEastAsia"/>
          <w:sz w:val="22"/>
          <w:szCs w:val="22"/>
        </w:rPr>
        <w:t>Facility accessibility details (e.g., Bresl</w:t>
      </w:r>
      <w:r w:rsidRPr="7EF1B1C7" w:rsidR="3B38AD9A">
        <w:rPr>
          <w:rFonts w:eastAsiaTheme="minorEastAsia"/>
          <w:sz w:val="22"/>
          <w:szCs w:val="22"/>
        </w:rPr>
        <w:t>in, Wharton, Libraries</w:t>
      </w:r>
      <w:r w:rsidRPr="7EF1B1C7">
        <w:rPr>
          <w:rFonts w:eastAsiaTheme="minorEastAsia"/>
          <w:sz w:val="22"/>
          <w:szCs w:val="22"/>
        </w:rPr>
        <w:t>)</w:t>
      </w:r>
    </w:p>
    <w:p w:rsidR="3C1A86B5" w:rsidP="7EF1B1C7" w:rsidRDefault="3C1A86B5" w14:paraId="758774E7" w14:textId="572940E4">
      <w:pPr>
        <w:spacing w:before="210" w:after="210" w:line="300" w:lineRule="auto"/>
        <w:rPr>
          <w:rFonts w:eastAsiaTheme="minorEastAsia"/>
          <w:sz w:val="22"/>
          <w:szCs w:val="22"/>
        </w:rPr>
      </w:pPr>
      <w:r w:rsidRPr="7EF1B1C7">
        <w:rPr>
          <w:rFonts w:eastAsiaTheme="minorEastAsia"/>
          <w:sz w:val="22"/>
          <w:szCs w:val="22"/>
        </w:rPr>
        <w:t>Currently, individuals must navigate multiple sites to locate these materials, which can result in:</w:t>
      </w:r>
    </w:p>
    <w:p w:rsidR="3C1A86B5" w:rsidP="7EF1B1C7" w:rsidRDefault="3C1A86B5" w14:paraId="70692749" w14:textId="4F8B56EE">
      <w:pPr>
        <w:pStyle w:val="ListParagraph"/>
        <w:numPr>
          <w:ilvl w:val="0"/>
          <w:numId w:val="30"/>
        </w:numPr>
        <w:spacing w:after="0" w:line="300" w:lineRule="auto"/>
        <w:rPr>
          <w:rFonts w:eastAsiaTheme="minorEastAsia"/>
          <w:sz w:val="22"/>
          <w:szCs w:val="22"/>
        </w:rPr>
      </w:pPr>
      <w:r w:rsidRPr="7EF1B1C7">
        <w:rPr>
          <w:rFonts w:eastAsiaTheme="minorEastAsia"/>
          <w:sz w:val="22"/>
          <w:szCs w:val="22"/>
        </w:rPr>
        <w:t>Inconsistent user experiences</w:t>
      </w:r>
    </w:p>
    <w:p w:rsidR="3C1A86B5" w:rsidP="7EF1B1C7" w:rsidRDefault="3C1A86B5" w14:paraId="766D2998" w14:textId="3BA66E92">
      <w:pPr>
        <w:pStyle w:val="ListParagraph"/>
        <w:numPr>
          <w:ilvl w:val="0"/>
          <w:numId w:val="30"/>
        </w:numPr>
        <w:spacing w:after="0" w:line="300" w:lineRule="auto"/>
        <w:rPr>
          <w:rFonts w:eastAsiaTheme="minorEastAsia"/>
          <w:sz w:val="22"/>
          <w:szCs w:val="22"/>
        </w:rPr>
      </w:pPr>
      <w:r w:rsidRPr="7EF1B1C7">
        <w:rPr>
          <w:rFonts w:eastAsiaTheme="minorEastAsia"/>
          <w:sz w:val="22"/>
          <w:szCs w:val="22"/>
        </w:rPr>
        <w:t xml:space="preserve">Difficulty determining which unit </w:t>
      </w:r>
      <w:proofErr w:type="gramStart"/>
      <w:r w:rsidRPr="7EF1B1C7">
        <w:rPr>
          <w:rFonts w:eastAsiaTheme="minorEastAsia"/>
          <w:sz w:val="22"/>
          <w:szCs w:val="22"/>
        </w:rPr>
        <w:t>handles</w:t>
      </w:r>
      <w:proofErr w:type="gramEnd"/>
      <w:r w:rsidRPr="7EF1B1C7">
        <w:rPr>
          <w:rFonts w:eastAsiaTheme="minorEastAsia"/>
          <w:sz w:val="22"/>
          <w:szCs w:val="22"/>
        </w:rPr>
        <w:t xml:space="preserve"> </w:t>
      </w:r>
      <w:proofErr w:type="gramStart"/>
      <w:r w:rsidRPr="7EF1B1C7">
        <w:rPr>
          <w:rFonts w:eastAsiaTheme="minorEastAsia"/>
          <w:sz w:val="22"/>
          <w:szCs w:val="22"/>
        </w:rPr>
        <w:t>what</w:t>
      </w:r>
      <w:proofErr w:type="gramEnd"/>
    </w:p>
    <w:p w:rsidR="3C1A86B5" w:rsidP="7EF1B1C7" w:rsidRDefault="3C1A86B5" w14:paraId="401CFA89" w14:textId="6522BD11">
      <w:pPr>
        <w:pStyle w:val="ListParagraph"/>
        <w:numPr>
          <w:ilvl w:val="0"/>
          <w:numId w:val="30"/>
        </w:numPr>
        <w:spacing w:after="0" w:line="300" w:lineRule="auto"/>
        <w:rPr>
          <w:rFonts w:eastAsiaTheme="minorEastAsia"/>
          <w:sz w:val="22"/>
          <w:szCs w:val="22"/>
        </w:rPr>
      </w:pPr>
      <w:r w:rsidRPr="7EF1B1C7">
        <w:rPr>
          <w:rFonts w:eastAsiaTheme="minorEastAsia"/>
          <w:sz w:val="22"/>
          <w:szCs w:val="22"/>
        </w:rPr>
        <w:t xml:space="preserve">Delays in obtaining needed </w:t>
      </w:r>
      <w:proofErr w:type="gramStart"/>
      <w:r w:rsidRPr="7EF1B1C7">
        <w:rPr>
          <w:rFonts w:eastAsiaTheme="minorEastAsia"/>
          <w:sz w:val="22"/>
          <w:szCs w:val="22"/>
        </w:rPr>
        <w:t>information</w:t>
      </w:r>
      <w:proofErr w:type="gramEnd"/>
    </w:p>
    <w:p w:rsidR="3C1A86B5" w:rsidP="7EF1B1C7" w:rsidRDefault="3C1A86B5" w14:paraId="68D1C444" w14:textId="7521B711">
      <w:pPr>
        <w:pStyle w:val="ListParagraph"/>
        <w:numPr>
          <w:ilvl w:val="0"/>
          <w:numId w:val="30"/>
        </w:numPr>
        <w:spacing w:after="0" w:line="300" w:lineRule="auto"/>
        <w:rPr>
          <w:rFonts w:eastAsiaTheme="minorEastAsia"/>
          <w:sz w:val="22"/>
          <w:szCs w:val="22"/>
        </w:rPr>
      </w:pPr>
      <w:r w:rsidRPr="7EF1B1C7">
        <w:rPr>
          <w:rFonts w:eastAsiaTheme="minorEastAsia"/>
          <w:sz w:val="22"/>
          <w:szCs w:val="22"/>
        </w:rPr>
        <w:t xml:space="preserve">Unintended pressure on individual units whose scope may not match the </w:t>
      </w:r>
      <w:proofErr w:type="gramStart"/>
      <w:r w:rsidRPr="7EF1B1C7">
        <w:rPr>
          <w:rFonts w:eastAsiaTheme="minorEastAsia"/>
          <w:sz w:val="22"/>
          <w:szCs w:val="22"/>
        </w:rPr>
        <w:t>inquiry</w:t>
      </w:r>
      <w:proofErr w:type="gramEnd"/>
    </w:p>
    <w:p w:rsidR="3C1A86B5" w:rsidP="7EF1B1C7" w:rsidRDefault="3C1A86B5" w14:paraId="7460F1BD" w14:textId="50495883">
      <w:pPr>
        <w:spacing w:before="210" w:after="210" w:line="300" w:lineRule="auto"/>
        <w:rPr>
          <w:rFonts w:eastAsiaTheme="minorEastAsia"/>
          <w:sz w:val="22"/>
          <w:szCs w:val="22"/>
        </w:rPr>
      </w:pPr>
      <w:r w:rsidRPr="7EF1B1C7">
        <w:rPr>
          <w:rFonts w:eastAsiaTheme="minorEastAsia"/>
          <w:sz w:val="22"/>
          <w:szCs w:val="22"/>
        </w:rPr>
        <w:t>A centralized website would provide clarity, efficiency, and a positive user experience, ensuring that each visitor reaches the appropriate resource quickly and confidently.</w:t>
      </w:r>
    </w:p>
    <w:p w:rsidR="3C1A86B5" w:rsidP="7EF1B1C7" w:rsidRDefault="3C1A86B5" w14:paraId="5CBF9316" w14:textId="3A9B79D4">
      <w:pPr>
        <w:pStyle w:val="Heading4"/>
        <w:rPr>
          <w:rFonts w:eastAsiaTheme="minorEastAsia" w:cstheme="minorBidi"/>
        </w:rPr>
      </w:pPr>
      <w:r w:rsidRPr="7EF1B1C7">
        <w:rPr>
          <w:rFonts w:eastAsiaTheme="minorEastAsia" w:cstheme="minorBidi"/>
        </w:rPr>
        <w:t>Implementing Recommendation No. 2</w:t>
      </w:r>
    </w:p>
    <w:p w:rsidR="3C1A86B5" w:rsidP="7EF1B1C7" w:rsidRDefault="3C1A86B5" w14:paraId="146A5FB0" w14:textId="42D852BA">
      <w:pPr>
        <w:spacing w:before="210" w:after="210" w:line="300" w:lineRule="auto"/>
        <w:rPr>
          <w:rFonts w:eastAsiaTheme="minorEastAsia"/>
          <w:sz w:val="22"/>
          <w:szCs w:val="22"/>
        </w:rPr>
      </w:pPr>
      <w:r w:rsidRPr="7EF1B1C7">
        <w:rPr>
          <w:rFonts w:eastAsiaTheme="minorEastAsia"/>
          <w:sz w:val="22"/>
          <w:szCs w:val="22"/>
        </w:rPr>
        <w:t xml:space="preserve">The project should </w:t>
      </w:r>
      <w:proofErr w:type="gramStart"/>
      <w:r w:rsidRPr="7EF1B1C7">
        <w:rPr>
          <w:rFonts w:eastAsiaTheme="minorEastAsia"/>
          <w:sz w:val="22"/>
          <w:szCs w:val="22"/>
        </w:rPr>
        <w:t>be developed</w:t>
      </w:r>
      <w:proofErr w:type="gramEnd"/>
      <w:r w:rsidRPr="7EF1B1C7">
        <w:rPr>
          <w:rFonts w:eastAsiaTheme="minorEastAsia"/>
          <w:sz w:val="22"/>
          <w:szCs w:val="22"/>
        </w:rPr>
        <w:t xml:space="preserve"> collaboratively with representation from:</w:t>
      </w:r>
    </w:p>
    <w:p w:rsidR="3C1A86B5" w:rsidP="7EF1B1C7" w:rsidRDefault="3C1A86B5" w14:paraId="10C30A07" w14:textId="514CB4AF">
      <w:pPr>
        <w:pStyle w:val="ListParagraph"/>
        <w:numPr>
          <w:ilvl w:val="0"/>
          <w:numId w:val="29"/>
        </w:numPr>
        <w:spacing w:after="0" w:line="300" w:lineRule="auto"/>
        <w:rPr>
          <w:rFonts w:eastAsiaTheme="minorEastAsia"/>
          <w:sz w:val="22"/>
          <w:szCs w:val="22"/>
        </w:rPr>
      </w:pPr>
      <w:r w:rsidRPr="7EF1B1C7">
        <w:rPr>
          <w:rFonts w:eastAsiaTheme="minorEastAsia"/>
          <w:sz w:val="22"/>
          <w:szCs w:val="22"/>
        </w:rPr>
        <w:t>Resource Center for Persons with Disabilities</w:t>
      </w:r>
      <w:r w:rsidRPr="7EF1B1C7" w:rsidR="6C133AF1">
        <w:rPr>
          <w:rFonts w:eastAsiaTheme="minorEastAsia"/>
          <w:sz w:val="22"/>
          <w:szCs w:val="22"/>
        </w:rPr>
        <w:t xml:space="preserve"> (RCPD)</w:t>
      </w:r>
    </w:p>
    <w:p w:rsidR="3C1A86B5" w:rsidP="34A2C28A" w:rsidRDefault="1D8DFFE0" w14:paraId="62275277" w14:textId="6D070563">
      <w:pPr>
        <w:pStyle w:val="ListParagraph"/>
        <w:numPr>
          <w:ilvl w:val="0"/>
          <w:numId w:val="29"/>
        </w:numPr>
        <w:spacing w:after="0" w:line="300" w:lineRule="auto"/>
        <w:rPr>
          <w:rFonts w:eastAsiaTheme="minorEastAsia"/>
          <w:sz w:val="22"/>
          <w:szCs w:val="22"/>
        </w:rPr>
      </w:pPr>
      <w:r w:rsidRPr="7EF1B1C7">
        <w:rPr>
          <w:rFonts w:eastAsiaTheme="minorEastAsia"/>
          <w:sz w:val="22"/>
          <w:szCs w:val="22"/>
        </w:rPr>
        <w:t xml:space="preserve">Office for Civil Rights </w:t>
      </w:r>
      <w:r w:rsidRPr="7EF1B1C7" w:rsidR="45938565">
        <w:rPr>
          <w:rFonts w:eastAsiaTheme="minorEastAsia"/>
          <w:sz w:val="22"/>
          <w:szCs w:val="22"/>
        </w:rPr>
        <w:t>and</w:t>
      </w:r>
      <w:r w:rsidRPr="7EF1B1C7">
        <w:rPr>
          <w:rFonts w:eastAsiaTheme="minorEastAsia"/>
          <w:sz w:val="22"/>
          <w:szCs w:val="22"/>
        </w:rPr>
        <w:t xml:space="preserve"> Title IX Education and Compliance</w:t>
      </w:r>
    </w:p>
    <w:p w:rsidR="3C1A86B5" w:rsidP="7EF1B1C7" w:rsidRDefault="3C1A86B5" w14:paraId="51F6FCDF" w14:textId="1CF8104C">
      <w:pPr>
        <w:pStyle w:val="ListParagraph"/>
        <w:numPr>
          <w:ilvl w:val="0"/>
          <w:numId w:val="29"/>
        </w:numPr>
        <w:spacing w:after="0" w:line="300" w:lineRule="auto"/>
        <w:rPr>
          <w:rFonts w:eastAsiaTheme="minorEastAsia"/>
          <w:sz w:val="22"/>
          <w:szCs w:val="22"/>
        </w:rPr>
      </w:pPr>
      <w:r w:rsidRPr="7EF1B1C7">
        <w:rPr>
          <w:rFonts w:eastAsiaTheme="minorEastAsia"/>
          <w:sz w:val="22"/>
          <w:szCs w:val="22"/>
        </w:rPr>
        <w:t>Human Resources and Employee and Labor Relation (HR/ELR)</w:t>
      </w:r>
    </w:p>
    <w:p w:rsidR="757C3840" w:rsidP="7EF1B1C7" w:rsidRDefault="757C3840" w14:paraId="59C27466" w14:textId="551CD90A">
      <w:pPr>
        <w:pStyle w:val="ListParagraph"/>
        <w:numPr>
          <w:ilvl w:val="0"/>
          <w:numId w:val="29"/>
        </w:numPr>
        <w:spacing w:after="0" w:line="300" w:lineRule="auto"/>
        <w:rPr>
          <w:rFonts w:eastAsiaTheme="minorEastAsia"/>
          <w:sz w:val="22"/>
          <w:szCs w:val="22"/>
        </w:rPr>
      </w:pPr>
      <w:r w:rsidRPr="7EF1B1C7">
        <w:rPr>
          <w:rFonts w:eastAsiaTheme="minorEastAsia"/>
          <w:sz w:val="22"/>
          <w:szCs w:val="22"/>
        </w:rPr>
        <w:t>Institutional Space Planning and Management (ISPM)</w:t>
      </w:r>
    </w:p>
    <w:p w:rsidR="3C1A86B5" w:rsidP="7EF1B1C7" w:rsidRDefault="3C1A86B5" w14:paraId="3DB32C3D" w14:textId="0AB94E56">
      <w:pPr>
        <w:pStyle w:val="ListParagraph"/>
        <w:numPr>
          <w:ilvl w:val="0"/>
          <w:numId w:val="29"/>
        </w:numPr>
        <w:spacing w:after="0" w:line="300" w:lineRule="auto"/>
        <w:rPr>
          <w:rFonts w:eastAsiaTheme="minorEastAsia"/>
          <w:sz w:val="22"/>
          <w:szCs w:val="22"/>
        </w:rPr>
      </w:pPr>
      <w:r w:rsidRPr="7EF1B1C7">
        <w:rPr>
          <w:rFonts w:eastAsiaTheme="minorEastAsia"/>
          <w:sz w:val="22"/>
          <w:szCs w:val="22"/>
        </w:rPr>
        <w:t>Infrastructure Planning &amp; Facilities (IPF)</w:t>
      </w:r>
    </w:p>
    <w:p w:rsidR="3C1A86B5" w:rsidP="7EF1B1C7" w:rsidRDefault="3C1A86B5" w14:paraId="0F870B1F" w14:textId="7F464598">
      <w:pPr>
        <w:pStyle w:val="ListParagraph"/>
        <w:numPr>
          <w:ilvl w:val="0"/>
          <w:numId w:val="29"/>
        </w:numPr>
        <w:spacing w:after="0" w:line="300" w:lineRule="auto"/>
        <w:rPr>
          <w:rFonts w:eastAsiaTheme="minorEastAsia"/>
          <w:sz w:val="22"/>
          <w:szCs w:val="22"/>
        </w:rPr>
      </w:pPr>
      <w:r w:rsidRPr="7EF1B1C7">
        <w:rPr>
          <w:rFonts w:eastAsiaTheme="minorEastAsia"/>
          <w:sz w:val="22"/>
          <w:szCs w:val="22"/>
        </w:rPr>
        <w:t>IT Educational Technology</w:t>
      </w:r>
    </w:p>
    <w:p w:rsidR="3C1A86B5" w:rsidP="7EF1B1C7" w:rsidRDefault="3C1A86B5" w14:paraId="34BFDE47" w14:textId="67DF923E">
      <w:pPr>
        <w:pStyle w:val="ListParagraph"/>
        <w:numPr>
          <w:ilvl w:val="0"/>
          <w:numId w:val="29"/>
        </w:numPr>
        <w:spacing w:after="0" w:line="300" w:lineRule="auto"/>
        <w:rPr>
          <w:rFonts w:eastAsiaTheme="minorEastAsia"/>
          <w:sz w:val="22"/>
          <w:szCs w:val="22"/>
        </w:rPr>
      </w:pPr>
      <w:r w:rsidRPr="7EF1B1C7">
        <w:rPr>
          <w:rFonts w:eastAsiaTheme="minorEastAsia"/>
          <w:sz w:val="22"/>
          <w:szCs w:val="22"/>
        </w:rPr>
        <w:t>Office for Inclusive Excellence &amp; Impact</w:t>
      </w:r>
    </w:p>
    <w:p w:rsidR="3C1A86B5" w:rsidP="7EF1B1C7" w:rsidRDefault="3C1A86B5" w14:paraId="7282D2DC" w14:textId="356C53E1">
      <w:pPr>
        <w:pStyle w:val="ListParagraph"/>
        <w:numPr>
          <w:ilvl w:val="0"/>
          <w:numId w:val="29"/>
        </w:numPr>
        <w:spacing w:after="0" w:line="300" w:lineRule="auto"/>
        <w:rPr>
          <w:rFonts w:eastAsiaTheme="minorEastAsia"/>
          <w:sz w:val="22"/>
          <w:szCs w:val="22"/>
        </w:rPr>
      </w:pPr>
      <w:r w:rsidRPr="7EF1B1C7">
        <w:rPr>
          <w:rFonts w:eastAsiaTheme="minorEastAsia"/>
          <w:sz w:val="22"/>
          <w:szCs w:val="22"/>
        </w:rPr>
        <w:t>Residential and Hospitality Services</w:t>
      </w:r>
    </w:p>
    <w:p w:rsidR="3C1A86B5" w:rsidP="7EF1B1C7" w:rsidRDefault="3C1A86B5" w14:paraId="43EDD443" w14:textId="03B050E7">
      <w:pPr>
        <w:pStyle w:val="ListParagraph"/>
        <w:numPr>
          <w:ilvl w:val="0"/>
          <w:numId w:val="29"/>
        </w:numPr>
        <w:spacing w:after="0" w:line="300" w:lineRule="auto"/>
        <w:rPr>
          <w:rFonts w:eastAsiaTheme="minorEastAsia"/>
          <w:sz w:val="22"/>
          <w:szCs w:val="22"/>
        </w:rPr>
      </w:pPr>
      <w:r w:rsidRPr="7EF1B1C7">
        <w:rPr>
          <w:rFonts w:eastAsiaTheme="minorEastAsia"/>
          <w:sz w:val="22"/>
          <w:szCs w:val="22"/>
        </w:rPr>
        <w:t>Division of Student Affairs &amp; Services</w:t>
      </w:r>
    </w:p>
    <w:p w:rsidR="3C1A86B5" w:rsidP="7EF1B1C7" w:rsidRDefault="3C1A86B5" w14:paraId="76A75A13" w14:textId="1CCDD4D7">
      <w:pPr>
        <w:pStyle w:val="ListParagraph"/>
        <w:numPr>
          <w:ilvl w:val="0"/>
          <w:numId w:val="29"/>
        </w:numPr>
        <w:spacing w:after="0" w:line="300" w:lineRule="auto"/>
        <w:rPr>
          <w:rFonts w:eastAsiaTheme="minorEastAsia"/>
          <w:sz w:val="22"/>
          <w:szCs w:val="22"/>
        </w:rPr>
      </w:pPr>
      <w:r w:rsidRPr="7EF1B1C7">
        <w:rPr>
          <w:rFonts w:eastAsiaTheme="minorEastAsia"/>
          <w:sz w:val="22"/>
          <w:szCs w:val="22"/>
        </w:rPr>
        <w:t>Communications &amp; Brand Strategy</w:t>
      </w:r>
    </w:p>
    <w:p w:rsidR="3C1A86B5" w:rsidP="7EF1B1C7" w:rsidRDefault="3C1A86B5" w14:paraId="2F8316D2" w14:textId="4D4F0CCA">
      <w:pPr>
        <w:pStyle w:val="ListParagraph"/>
        <w:numPr>
          <w:ilvl w:val="0"/>
          <w:numId w:val="29"/>
        </w:numPr>
        <w:spacing w:after="0" w:line="300" w:lineRule="auto"/>
        <w:rPr>
          <w:rFonts w:eastAsiaTheme="minorEastAsia"/>
          <w:sz w:val="22"/>
          <w:szCs w:val="22"/>
        </w:rPr>
      </w:pPr>
      <w:r w:rsidRPr="7EF1B1C7">
        <w:rPr>
          <w:rFonts w:eastAsiaTheme="minorEastAsia"/>
          <w:sz w:val="22"/>
          <w:szCs w:val="22"/>
        </w:rPr>
        <w:t>Police &amp; Public Safety</w:t>
      </w:r>
    </w:p>
    <w:p w:rsidR="3C1A86B5" w:rsidP="7EF1B1C7" w:rsidRDefault="3C1A86B5" w14:paraId="193A7626" w14:textId="0C87DBF0">
      <w:pPr>
        <w:pStyle w:val="ListParagraph"/>
        <w:numPr>
          <w:ilvl w:val="0"/>
          <w:numId w:val="29"/>
        </w:numPr>
        <w:spacing w:after="0" w:line="300" w:lineRule="auto"/>
        <w:rPr>
          <w:rFonts w:eastAsiaTheme="minorEastAsia"/>
          <w:sz w:val="22"/>
          <w:szCs w:val="22"/>
        </w:rPr>
      </w:pPr>
      <w:r w:rsidRPr="7EF1B1C7">
        <w:rPr>
          <w:rFonts w:eastAsiaTheme="minorEastAsia"/>
          <w:sz w:val="22"/>
          <w:szCs w:val="22"/>
        </w:rPr>
        <w:t>University Health and Wellbeing University Physician’s Office</w:t>
      </w:r>
    </w:p>
    <w:p w:rsidR="3C1A86B5" w:rsidP="7EF1B1C7" w:rsidRDefault="3C1A86B5" w14:paraId="2B9B9261" w14:textId="2B7C65C2">
      <w:pPr>
        <w:pStyle w:val="ListParagraph"/>
        <w:numPr>
          <w:ilvl w:val="0"/>
          <w:numId w:val="29"/>
        </w:numPr>
        <w:spacing w:after="0" w:line="300" w:lineRule="auto"/>
        <w:rPr>
          <w:rFonts w:eastAsiaTheme="minorEastAsia"/>
          <w:sz w:val="22"/>
          <w:szCs w:val="22"/>
        </w:rPr>
      </w:pPr>
      <w:r w:rsidRPr="7EF1B1C7">
        <w:rPr>
          <w:rFonts w:eastAsiaTheme="minorEastAsia"/>
          <w:sz w:val="22"/>
          <w:szCs w:val="22"/>
        </w:rPr>
        <w:t>Athletics and Student Athlete Support Services</w:t>
      </w:r>
    </w:p>
    <w:p w:rsidR="2E5A7080" w:rsidP="7EF1B1C7" w:rsidRDefault="2E5A7080" w14:paraId="7E94B163" w14:textId="20980F94">
      <w:pPr>
        <w:pStyle w:val="ListParagraph"/>
        <w:numPr>
          <w:ilvl w:val="0"/>
          <w:numId w:val="29"/>
        </w:numPr>
        <w:spacing w:after="0" w:line="300" w:lineRule="auto"/>
        <w:rPr>
          <w:rFonts w:eastAsiaTheme="minorEastAsia"/>
          <w:sz w:val="22"/>
          <w:szCs w:val="22"/>
        </w:rPr>
      </w:pPr>
      <w:r w:rsidRPr="7EF1B1C7">
        <w:rPr>
          <w:rFonts w:eastAsiaTheme="minorEastAsia"/>
          <w:sz w:val="22"/>
          <w:szCs w:val="22"/>
        </w:rPr>
        <w:t xml:space="preserve">MSU </w:t>
      </w:r>
      <w:r w:rsidRPr="7EF1B1C7" w:rsidR="3C1A86B5">
        <w:rPr>
          <w:rFonts w:eastAsiaTheme="minorEastAsia"/>
          <w:sz w:val="22"/>
          <w:szCs w:val="22"/>
        </w:rPr>
        <w:t>Libraries</w:t>
      </w:r>
    </w:p>
    <w:p w:rsidR="3C1A86B5" w:rsidP="34A2C28A" w:rsidRDefault="1D8DFFE0" w14:paraId="4459D505" w14:textId="329ABC71">
      <w:pPr>
        <w:pStyle w:val="ListParagraph"/>
        <w:numPr>
          <w:ilvl w:val="0"/>
          <w:numId w:val="29"/>
        </w:numPr>
        <w:spacing w:before="210" w:after="0" w:line="300" w:lineRule="auto"/>
        <w:rPr>
          <w:rFonts w:eastAsiaTheme="minorEastAsia"/>
          <w:sz w:val="22"/>
          <w:szCs w:val="22"/>
        </w:rPr>
      </w:pPr>
      <w:r w:rsidRPr="7EF1B1C7">
        <w:rPr>
          <w:rFonts w:eastAsiaTheme="minorEastAsia"/>
          <w:sz w:val="22"/>
          <w:szCs w:val="22"/>
        </w:rPr>
        <w:t>Broad stakeholders who serve visitors or the public (</w:t>
      </w:r>
      <w:r w:rsidRPr="7EF1B1C7" w:rsidR="7197EFE3">
        <w:rPr>
          <w:rFonts w:eastAsiaTheme="minorEastAsia"/>
          <w:sz w:val="22"/>
          <w:szCs w:val="22"/>
        </w:rPr>
        <w:t>pre-college</w:t>
      </w:r>
      <w:r w:rsidRPr="7EF1B1C7">
        <w:rPr>
          <w:rFonts w:eastAsiaTheme="minorEastAsia"/>
          <w:sz w:val="22"/>
          <w:szCs w:val="22"/>
        </w:rPr>
        <w:t xml:space="preserve"> programming, MSU Healthcare, </w:t>
      </w:r>
      <w:proofErr w:type="gramStart"/>
      <w:r w:rsidRPr="7EF1B1C7">
        <w:rPr>
          <w:rFonts w:eastAsiaTheme="minorEastAsia"/>
          <w:sz w:val="22"/>
          <w:szCs w:val="22"/>
        </w:rPr>
        <w:t>etc.</w:t>
      </w:r>
      <w:proofErr w:type="gramEnd"/>
      <w:r w:rsidRPr="7EF1B1C7">
        <w:rPr>
          <w:rFonts w:eastAsiaTheme="minorEastAsia"/>
          <w:sz w:val="22"/>
          <w:szCs w:val="22"/>
        </w:rPr>
        <w:t>)</w:t>
      </w:r>
    </w:p>
    <w:p w:rsidR="3C1A86B5" w:rsidP="34A2C28A" w:rsidRDefault="1D8DFFE0" w14:paraId="092ADE9C" w14:textId="0479301F">
      <w:pPr>
        <w:pStyle w:val="ListParagraph"/>
        <w:numPr>
          <w:ilvl w:val="0"/>
          <w:numId w:val="29"/>
        </w:numPr>
        <w:spacing w:before="210" w:after="0" w:line="300" w:lineRule="auto"/>
        <w:rPr>
          <w:rFonts w:eastAsiaTheme="minorEastAsia"/>
          <w:sz w:val="22"/>
          <w:szCs w:val="22"/>
        </w:rPr>
      </w:pPr>
      <w:r w:rsidRPr="7EF1B1C7">
        <w:rPr>
          <w:rFonts w:eastAsiaTheme="minorEastAsia"/>
          <w:sz w:val="22"/>
          <w:szCs w:val="22"/>
        </w:rPr>
        <w:t>End-user input from students, employees with disabilities, and community members to inform design and usability.</w:t>
      </w:r>
    </w:p>
    <w:p w:rsidR="28C70CA9" w:rsidP="7EF1B1C7" w:rsidRDefault="77FE081F" w14:paraId="320409F7" w14:textId="4364749F">
      <w:pPr>
        <w:spacing w:after="0" w:line="300" w:lineRule="auto"/>
        <w:rPr>
          <w:rFonts w:eastAsiaTheme="minorEastAsia"/>
          <w:sz w:val="22"/>
          <w:szCs w:val="22"/>
        </w:rPr>
      </w:pPr>
      <w:r w:rsidRPr="7EF1B1C7">
        <w:rPr>
          <w:rFonts w:eastAsiaTheme="minorEastAsia"/>
          <w:sz w:val="22"/>
          <w:szCs w:val="22"/>
        </w:rPr>
        <w:t xml:space="preserve">This group will need to </w:t>
      </w:r>
      <w:proofErr w:type="gramStart"/>
      <w:r w:rsidRPr="7EF1B1C7">
        <w:rPr>
          <w:rFonts w:eastAsiaTheme="minorEastAsia"/>
          <w:sz w:val="22"/>
          <w:szCs w:val="22"/>
        </w:rPr>
        <w:t>determine how</w:t>
      </w:r>
      <w:proofErr w:type="gramEnd"/>
      <w:r w:rsidRPr="7EF1B1C7">
        <w:rPr>
          <w:rFonts w:eastAsiaTheme="minorEastAsia"/>
          <w:sz w:val="22"/>
          <w:szCs w:val="22"/>
        </w:rPr>
        <w:t xml:space="preserve"> best to organize and present </w:t>
      </w:r>
      <w:r w:rsidRPr="7EF1B1C7" w:rsidR="7D3F0CD2">
        <w:rPr>
          <w:rFonts w:eastAsiaTheme="minorEastAsia"/>
          <w:sz w:val="22"/>
          <w:szCs w:val="22"/>
        </w:rPr>
        <w:t>resources</w:t>
      </w:r>
      <w:r w:rsidRPr="7EF1B1C7" w:rsidR="22014BAF">
        <w:rPr>
          <w:rFonts w:eastAsiaTheme="minorEastAsia"/>
          <w:sz w:val="22"/>
          <w:szCs w:val="22"/>
        </w:rPr>
        <w:t xml:space="preserve"> to support</w:t>
      </w:r>
      <w:r w:rsidRPr="7EF1B1C7" w:rsidR="7D3F0CD2">
        <w:rPr>
          <w:rFonts w:eastAsiaTheme="minorEastAsia"/>
          <w:sz w:val="22"/>
          <w:szCs w:val="22"/>
        </w:rPr>
        <w:t xml:space="preserve"> </w:t>
      </w:r>
      <w:r w:rsidRPr="7EF1B1C7" w:rsidR="0CA9DB70">
        <w:rPr>
          <w:rFonts w:eastAsiaTheme="minorEastAsia"/>
          <w:sz w:val="22"/>
          <w:szCs w:val="22"/>
        </w:rPr>
        <w:t>disability</w:t>
      </w:r>
      <w:r w:rsidRPr="7EF1B1C7" w:rsidR="7D3F0CD2">
        <w:rPr>
          <w:rFonts w:eastAsiaTheme="minorEastAsia"/>
          <w:sz w:val="22"/>
          <w:szCs w:val="22"/>
        </w:rPr>
        <w:t xml:space="preserve"> and accessibility </w:t>
      </w:r>
      <w:r w:rsidRPr="7EF1B1C7" w:rsidR="22014BAF">
        <w:rPr>
          <w:rFonts w:eastAsiaTheme="minorEastAsia"/>
          <w:sz w:val="22"/>
          <w:szCs w:val="22"/>
        </w:rPr>
        <w:t>needs</w:t>
      </w:r>
      <w:r w:rsidRPr="7EF1B1C7" w:rsidR="4EF894B8">
        <w:rPr>
          <w:rFonts w:eastAsiaTheme="minorEastAsia"/>
          <w:sz w:val="22"/>
          <w:szCs w:val="22"/>
        </w:rPr>
        <w:t xml:space="preserve"> on a centralized website</w:t>
      </w:r>
      <w:r w:rsidRPr="7EF1B1C7">
        <w:rPr>
          <w:rFonts w:eastAsiaTheme="minorEastAsia"/>
          <w:sz w:val="22"/>
          <w:szCs w:val="22"/>
        </w:rPr>
        <w:t xml:space="preserve">. </w:t>
      </w:r>
      <w:r w:rsidRPr="7EF1B1C7" w:rsidR="2D85DDA1">
        <w:rPr>
          <w:rFonts w:eastAsiaTheme="minorEastAsia"/>
          <w:sz w:val="22"/>
          <w:szCs w:val="22"/>
        </w:rPr>
        <w:t>Design</w:t>
      </w:r>
      <w:r w:rsidRPr="7EF1B1C7">
        <w:rPr>
          <w:rFonts w:eastAsiaTheme="minorEastAsia"/>
          <w:sz w:val="22"/>
          <w:szCs w:val="22"/>
        </w:rPr>
        <w:t xml:space="preserve"> approaches </w:t>
      </w:r>
      <w:r w:rsidRPr="7EF1B1C7" w:rsidR="219F271A">
        <w:rPr>
          <w:rFonts w:eastAsiaTheme="minorEastAsia"/>
          <w:sz w:val="22"/>
          <w:szCs w:val="22"/>
        </w:rPr>
        <w:t xml:space="preserve">could </w:t>
      </w:r>
      <w:r w:rsidRPr="7EF1B1C7">
        <w:rPr>
          <w:rFonts w:eastAsiaTheme="minorEastAsia"/>
          <w:sz w:val="22"/>
          <w:szCs w:val="22"/>
        </w:rPr>
        <w:t xml:space="preserve">include audience‑based navigation, topic‑based navigation, or alphabetical indexes. While units compile their individual lists of resources, a draft site outline should </w:t>
      </w:r>
      <w:proofErr w:type="gramStart"/>
      <w:r w:rsidRPr="7EF1B1C7">
        <w:rPr>
          <w:rFonts w:eastAsiaTheme="minorEastAsia"/>
          <w:sz w:val="22"/>
          <w:szCs w:val="22"/>
        </w:rPr>
        <w:t>be developed</w:t>
      </w:r>
      <w:proofErr w:type="gramEnd"/>
      <w:r w:rsidRPr="7EF1B1C7">
        <w:rPr>
          <w:rFonts w:eastAsiaTheme="minorEastAsia"/>
          <w:sz w:val="22"/>
          <w:szCs w:val="22"/>
        </w:rPr>
        <w:t xml:space="preserve"> in parallel. A primary unit will also need to </w:t>
      </w:r>
      <w:proofErr w:type="gramStart"/>
      <w:r w:rsidRPr="7EF1B1C7">
        <w:rPr>
          <w:rFonts w:eastAsiaTheme="minorEastAsia"/>
          <w:sz w:val="22"/>
          <w:szCs w:val="22"/>
        </w:rPr>
        <w:t>be identified</w:t>
      </w:r>
      <w:proofErr w:type="gramEnd"/>
      <w:r w:rsidRPr="7EF1B1C7">
        <w:rPr>
          <w:rFonts w:eastAsiaTheme="minorEastAsia"/>
          <w:sz w:val="22"/>
          <w:szCs w:val="22"/>
        </w:rPr>
        <w:t xml:space="preserve"> to build and maintain the website; based on PACDI discussions, the Office for Civil Rights is </w:t>
      </w:r>
      <w:r w:rsidRPr="7EF1B1C7" w:rsidR="22B96305">
        <w:rPr>
          <w:rFonts w:eastAsiaTheme="minorEastAsia"/>
          <w:sz w:val="22"/>
          <w:szCs w:val="22"/>
        </w:rPr>
        <w:t xml:space="preserve">a </w:t>
      </w:r>
      <w:proofErr w:type="gramStart"/>
      <w:r w:rsidRPr="7EF1B1C7" w:rsidR="0CA92716">
        <w:rPr>
          <w:rFonts w:eastAsiaTheme="minorEastAsia"/>
          <w:sz w:val="22"/>
          <w:szCs w:val="22"/>
        </w:rPr>
        <w:t>likely candidate</w:t>
      </w:r>
      <w:proofErr w:type="gramEnd"/>
      <w:r w:rsidRPr="7EF1B1C7">
        <w:rPr>
          <w:rFonts w:eastAsiaTheme="minorEastAsia"/>
          <w:sz w:val="22"/>
          <w:szCs w:val="22"/>
        </w:rPr>
        <w:t xml:space="preserve"> for this role.</w:t>
      </w:r>
      <w:r w:rsidR="008E0220">
        <w:rPr>
          <w:rFonts w:eastAsiaTheme="minorEastAsia"/>
          <w:sz w:val="22"/>
          <w:szCs w:val="22"/>
        </w:rPr>
        <w:br/>
      </w:r>
    </w:p>
    <w:p w:rsidR="28C70CA9" w:rsidP="34A2C28A" w:rsidRDefault="6FE336B7" w14:paraId="31DEE158" w14:textId="7FDAC802">
      <w:pPr>
        <w:spacing w:after="0" w:line="300" w:lineRule="auto"/>
        <w:rPr>
          <w:rFonts w:eastAsiaTheme="minorEastAsia"/>
          <w:sz w:val="22"/>
          <w:szCs w:val="22"/>
        </w:rPr>
      </w:pPr>
      <w:r w:rsidRPr="7EF1B1C7">
        <w:rPr>
          <w:rFonts w:eastAsiaTheme="minorEastAsia"/>
          <w:sz w:val="22"/>
          <w:szCs w:val="22"/>
        </w:rPr>
        <w:t xml:space="preserve">After the website structure </w:t>
      </w:r>
      <w:proofErr w:type="gramStart"/>
      <w:r w:rsidRPr="7EF1B1C7">
        <w:rPr>
          <w:rFonts w:eastAsiaTheme="minorEastAsia"/>
          <w:sz w:val="22"/>
          <w:szCs w:val="22"/>
        </w:rPr>
        <w:t>is finalized</w:t>
      </w:r>
      <w:proofErr w:type="gramEnd"/>
      <w:r w:rsidRPr="7EF1B1C7">
        <w:rPr>
          <w:rFonts w:eastAsiaTheme="minorEastAsia"/>
          <w:sz w:val="22"/>
          <w:szCs w:val="22"/>
        </w:rPr>
        <w:t xml:space="preserve"> and materials </w:t>
      </w:r>
      <w:proofErr w:type="gramStart"/>
      <w:r w:rsidRPr="7EF1B1C7">
        <w:rPr>
          <w:rFonts w:eastAsiaTheme="minorEastAsia"/>
          <w:sz w:val="22"/>
          <w:szCs w:val="22"/>
        </w:rPr>
        <w:t>are developed</w:t>
      </w:r>
      <w:proofErr w:type="gramEnd"/>
      <w:r w:rsidRPr="7EF1B1C7">
        <w:rPr>
          <w:rFonts w:eastAsiaTheme="minorEastAsia"/>
          <w:sz w:val="22"/>
          <w:szCs w:val="22"/>
        </w:rPr>
        <w:t xml:space="preserve">, the primary unit will build the site in an appropriate content management system. This work will remain collaborative, as participating units may need to update their own webpages to better describe programs or services linked </w:t>
      </w:r>
      <w:r w:rsidRPr="7EF1B1C7" w:rsidR="05A1AAEA">
        <w:rPr>
          <w:rFonts w:eastAsiaTheme="minorEastAsia"/>
          <w:sz w:val="22"/>
          <w:szCs w:val="22"/>
        </w:rPr>
        <w:t>to</w:t>
      </w:r>
      <w:r w:rsidRPr="7EF1B1C7">
        <w:rPr>
          <w:rFonts w:eastAsiaTheme="minorEastAsia"/>
          <w:sz w:val="22"/>
          <w:szCs w:val="22"/>
        </w:rPr>
        <w:t xml:space="preserve"> the Disability website. </w:t>
      </w:r>
      <w:proofErr w:type="gramStart"/>
      <w:r w:rsidRPr="7EF1B1C7">
        <w:rPr>
          <w:rFonts w:eastAsiaTheme="minorEastAsia"/>
          <w:sz w:val="22"/>
          <w:szCs w:val="22"/>
        </w:rPr>
        <w:t>Some</w:t>
      </w:r>
      <w:proofErr w:type="gramEnd"/>
      <w:r w:rsidRPr="7EF1B1C7">
        <w:rPr>
          <w:rFonts w:eastAsiaTheme="minorEastAsia"/>
          <w:sz w:val="22"/>
          <w:szCs w:val="22"/>
        </w:rPr>
        <w:t xml:space="preserve"> information may also need to </w:t>
      </w:r>
      <w:proofErr w:type="gramStart"/>
      <w:r w:rsidRPr="7EF1B1C7">
        <w:rPr>
          <w:rFonts w:eastAsiaTheme="minorEastAsia"/>
          <w:sz w:val="22"/>
          <w:szCs w:val="22"/>
        </w:rPr>
        <w:t>be newly created</w:t>
      </w:r>
      <w:proofErr w:type="gramEnd"/>
      <w:r w:rsidRPr="7EF1B1C7">
        <w:rPr>
          <w:rFonts w:eastAsiaTheme="minorEastAsia"/>
          <w:sz w:val="22"/>
          <w:szCs w:val="22"/>
        </w:rPr>
        <w:t xml:space="preserve"> if it does not currently exist on any MSU site. </w:t>
      </w:r>
      <w:r w:rsidRPr="7EF1B1C7" w:rsidR="5321DC3C">
        <w:rPr>
          <w:rFonts w:eastAsiaTheme="minorEastAsia"/>
          <w:sz w:val="22"/>
          <w:szCs w:val="22"/>
        </w:rPr>
        <w:t>The website should not duplicate existing unit websites but instead serve as a curated, intuitive hub linking to authoritative sources.</w:t>
      </w:r>
      <w:r w:rsidR="008E0220">
        <w:rPr>
          <w:rFonts w:eastAsiaTheme="minorEastAsia"/>
          <w:sz w:val="22"/>
          <w:szCs w:val="22"/>
        </w:rPr>
        <w:br/>
      </w:r>
    </w:p>
    <w:p w:rsidR="6C218959" w:rsidP="7EF1B1C7" w:rsidRDefault="6C218959" w14:paraId="10C01850" w14:textId="5597C970">
      <w:pPr>
        <w:rPr>
          <w:rFonts w:eastAsiaTheme="minorEastAsia"/>
          <w:sz w:val="22"/>
          <w:szCs w:val="22"/>
        </w:rPr>
      </w:pPr>
      <w:r w:rsidRPr="7EF1B1C7">
        <w:rPr>
          <w:rFonts w:eastAsiaTheme="minorEastAsia"/>
          <w:sz w:val="22"/>
          <w:szCs w:val="22"/>
        </w:rPr>
        <w:t xml:space="preserve">PACDI recommends that the website </w:t>
      </w:r>
      <w:proofErr w:type="gramStart"/>
      <w:r w:rsidRPr="7EF1B1C7">
        <w:rPr>
          <w:rFonts w:eastAsiaTheme="minorEastAsia"/>
          <w:sz w:val="22"/>
          <w:szCs w:val="22"/>
        </w:rPr>
        <w:t>be jointly governed</w:t>
      </w:r>
      <w:proofErr w:type="gramEnd"/>
      <w:r w:rsidRPr="7EF1B1C7">
        <w:rPr>
          <w:rFonts w:eastAsiaTheme="minorEastAsia"/>
          <w:sz w:val="22"/>
          <w:szCs w:val="22"/>
        </w:rPr>
        <w:t xml:space="preserve"> to ensure accuracy, sustainability, and alignment with university-wide accessibility goals.</w:t>
      </w:r>
      <w:r w:rsidRPr="7EF1B1C7" w:rsidR="36A2016E">
        <w:rPr>
          <w:rFonts w:eastAsiaTheme="minorEastAsia"/>
          <w:sz w:val="22"/>
          <w:szCs w:val="22"/>
        </w:rPr>
        <w:t xml:space="preserve"> The</w:t>
      </w:r>
      <w:r w:rsidRPr="7EF1B1C7">
        <w:rPr>
          <w:rFonts w:eastAsiaTheme="minorEastAsia"/>
          <w:sz w:val="22"/>
          <w:szCs w:val="22"/>
        </w:rPr>
        <w:t xml:space="preserve"> proposed governance structure could include:</w:t>
      </w:r>
    </w:p>
    <w:p w:rsidR="6C218959" w:rsidP="7EF1B1C7" w:rsidRDefault="6C218959" w14:paraId="6B22AE42" w14:textId="3EA1B6B3">
      <w:pPr>
        <w:pStyle w:val="ListParagraph"/>
        <w:numPr>
          <w:ilvl w:val="0"/>
          <w:numId w:val="12"/>
        </w:numPr>
        <w:spacing w:before="210" w:after="210" w:line="300" w:lineRule="auto"/>
        <w:rPr>
          <w:rFonts w:eastAsiaTheme="minorEastAsia"/>
          <w:sz w:val="22"/>
          <w:szCs w:val="22"/>
        </w:rPr>
      </w:pPr>
      <w:r w:rsidRPr="7EF1B1C7">
        <w:rPr>
          <w:rFonts w:eastAsiaTheme="minorEastAsia"/>
          <w:sz w:val="22"/>
          <w:szCs w:val="22"/>
        </w:rPr>
        <w:t>Primary site owner/maintainer:</w:t>
      </w:r>
    </w:p>
    <w:p w:rsidR="31857737" w:rsidP="34A2C28A" w:rsidRDefault="2A837986" w14:paraId="6FCB95CB" w14:textId="2B4DC0C7">
      <w:pPr>
        <w:pStyle w:val="ListParagraph"/>
        <w:numPr>
          <w:ilvl w:val="1"/>
          <w:numId w:val="12"/>
        </w:numPr>
        <w:spacing w:after="0" w:line="300" w:lineRule="auto"/>
        <w:rPr>
          <w:rFonts w:eastAsiaTheme="minorEastAsia"/>
          <w:sz w:val="22"/>
          <w:szCs w:val="22"/>
        </w:rPr>
      </w:pPr>
      <w:r w:rsidRPr="7EF1B1C7">
        <w:rPr>
          <w:rFonts w:eastAsiaTheme="minorEastAsia"/>
          <w:sz w:val="22"/>
          <w:szCs w:val="22"/>
        </w:rPr>
        <w:t>Office of the ADA Coordinator</w:t>
      </w:r>
      <w:r w:rsidRPr="7EF1B1C7" w:rsidR="5321DC3C">
        <w:rPr>
          <w:rFonts w:eastAsiaTheme="minorEastAsia"/>
          <w:sz w:val="22"/>
          <w:szCs w:val="22"/>
        </w:rPr>
        <w:t xml:space="preserve"> or Digital Accessibility </w:t>
      </w:r>
      <w:r w:rsidRPr="7EF1B1C7" w:rsidR="37B2B01D">
        <w:rPr>
          <w:rFonts w:eastAsiaTheme="minorEastAsia"/>
          <w:sz w:val="22"/>
          <w:szCs w:val="22"/>
        </w:rPr>
        <w:t xml:space="preserve">Team </w:t>
      </w:r>
      <w:r w:rsidRPr="7EF1B1C7" w:rsidR="5321DC3C">
        <w:rPr>
          <w:rFonts w:eastAsiaTheme="minorEastAsia"/>
          <w:sz w:val="22"/>
          <w:szCs w:val="22"/>
        </w:rPr>
        <w:t>(technical ownership, maintenance)</w:t>
      </w:r>
    </w:p>
    <w:p w:rsidR="6C218959" w:rsidP="7EF1B1C7" w:rsidRDefault="6C218959" w14:paraId="6A245220" w14:textId="226A21BE">
      <w:pPr>
        <w:pStyle w:val="ListParagraph"/>
        <w:numPr>
          <w:ilvl w:val="0"/>
          <w:numId w:val="12"/>
        </w:numPr>
        <w:spacing w:before="210" w:after="210" w:line="300" w:lineRule="auto"/>
        <w:rPr>
          <w:rFonts w:eastAsiaTheme="minorEastAsia"/>
          <w:sz w:val="22"/>
          <w:szCs w:val="22"/>
        </w:rPr>
      </w:pPr>
      <w:r w:rsidRPr="7EF1B1C7">
        <w:rPr>
          <w:rFonts w:eastAsiaTheme="minorEastAsia"/>
          <w:sz w:val="22"/>
          <w:szCs w:val="22"/>
        </w:rPr>
        <w:t>Content governance group (quarterly updates)</w:t>
      </w:r>
      <w:r w:rsidRPr="7EF1B1C7" w:rsidR="3E7DB352">
        <w:rPr>
          <w:rFonts w:eastAsiaTheme="minorEastAsia"/>
          <w:sz w:val="22"/>
          <w:szCs w:val="22"/>
        </w:rPr>
        <w:t xml:space="preserve"> from above listed stakeholders and feedback from the campus community.</w:t>
      </w:r>
    </w:p>
    <w:p w:rsidR="6C218959" w:rsidP="34A2C28A" w:rsidRDefault="5321DC3C" w14:paraId="3E686DF8" w14:textId="51FDADF7">
      <w:pPr>
        <w:spacing w:before="210" w:after="210" w:line="300" w:lineRule="auto"/>
        <w:rPr>
          <w:rFonts w:eastAsiaTheme="minorEastAsia"/>
          <w:sz w:val="22"/>
          <w:szCs w:val="22"/>
        </w:rPr>
      </w:pPr>
      <w:r w:rsidRPr="7EF1B1C7">
        <w:rPr>
          <w:rFonts w:eastAsiaTheme="minorEastAsia"/>
          <w:sz w:val="22"/>
          <w:szCs w:val="22"/>
        </w:rPr>
        <w:t>This structure distributes responsibility and reduces maintenance burden on any single unit.</w:t>
      </w:r>
    </w:p>
    <w:p w:rsidR="28C70CA9" w:rsidP="34A2C28A" w:rsidRDefault="7735A148" w14:paraId="06BC7C75" w14:textId="63A65C35">
      <w:pPr>
        <w:spacing w:after="0" w:line="300" w:lineRule="auto"/>
        <w:rPr>
          <w:rFonts w:eastAsiaTheme="minorEastAsia"/>
          <w:sz w:val="22"/>
          <w:szCs w:val="22"/>
        </w:rPr>
      </w:pPr>
      <w:r w:rsidRPr="7EF1B1C7">
        <w:rPr>
          <w:rFonts w:eastAsiaTheme="minorEastAsia"/>
          <w:sz w:val="22"/>
          <w:szCs w:val="22"/>
        </w:rPr>
        <w:t xml:space="preserve">Once the website </w:t>
      </w:r>
      <w:proofErr w:type="gramStart"/>
      <w:r w:rsidRPr="7EF1B1C7">
        <w:rPr>
          <w:rFonts w:eastAsiaTheme="minorEastAsia"/>
          <w:sz w:val="22"/>
          <w:szCs w:val="22"/>
        </w:rPr>
        <w:t>is built</w:t>
      </w:r>
      <w:proofErr w:type="gramEnd"/>
      <w:r w:rsidRPr="7EF1B1C7">
        <w:rPr>
          <w:rFonts w:eastAsiaTheme="minorEastAsia"/>
          <w:sz w:val="22"/>
          <w:szCs w:val="22"/>
        </w:rPr>
        <w:t xml:space="preserve">, </w:t>
      </w:r>
      <w:proofErr w:type="gramStart"/>
      <w:r w:rsidRPr="7EF1B1C7">
        <w:rPr>
          <w:rFonts w:eastAsiaTheme="minorEastAsia"/>
          <w:sz w:val="22"/>
          <w:szCs w:val="22"/>
        </w:rPr>
        <w:t>tested</w:t>
      </w:r>
      <w:proofErr w:type="gramEnd"/>
      <w:r w:rsidRPr="7EF1B1C7">
        <w:rPr>
          <w:rFonts w:eastAsiaTheme="minorEastAsia"/>
          <w:sz w:val="22"/>
          <w:szCs w:val="22"/>
        </w:rPr>
        <w:t xml:space="preserve">, and launched, it will need to </w:t>
      </w:r>
      <w:proofErr w:type="gramStart"/>
      <w:r w:rsidRPr="7EF1B1C7">
        <w:rPr>
          <w:rFonts w:eastAsiaTheme="minorEastAsia"/>
          <w:sz w:val="22"/>
          <w:szCs w:val="22"/>
        </w:rPr>
        <w:t>be intentionally promoted</w:t>
      </w:r>
      <w:proofErr w:type="gramEnd"/>
      <w:r w:rsidRPr="7EF1B1C7">
        <w:rPr>
          <w:rFonts w:eastAsiaTheme="minorEastAsia"/>
          <w:sz w:val="22"/>
          <w:szCs w:val="22"/>
        </w:rPr>
        <w:t xml:space="preserve"> through a communications plan. Because the site relies heavily on links, it may not rank higher in search results than the </w:t>
      </w:r>
      <w:r w:rsidRPr="7EF1B1C7" w:rsidR="3438F870">
        <w:rPr>
          <w:rFonts w:eastAsiaTheme="minorEastAsia"/>
          <w:sz w:val="22"/>
          <w:szCs w:val="22"/>
        </w:rPr>
        <w:t>unit</w:t>
      </w:r>
      <w:r w:rsidRPr="7EF1B1C7">
        <w:rPr>
          <w:rFonts w:eastAsiaTheme="minorEastAsia"/>
          <w:sz w:val="22"/>
          <w:szCs w:val="22"/>
        </w:rPr>
        <w:t xml:space="preserve"> websites it connects to. For this reason, </w:t>
      </w:r>
      <w:proofErr w:type="gramStart"/>
      <w:r w:rsidRPr="7EF1B1C7">
        <w:rPr>
          <w:rFonts w:eastAsiaTheme="minorEastAsia"/>
          <w:sz w:val="22"/>
          <w:szCs w:val="22"/>
        </w:rPr>
        <w:t>proactive</w:t>
      </w:r>
      <w:proofErr w:type="gramEnd"/>
      <w:r w:rsidRPr="7EF1B1C7">
        <w:rPr>
          <w:rFonts w:eastAsiaTheme="minorEastAsia"/>
          <w:sz w:val="22"/>
          <w:szCs w:val="22"/>
        </w:rPr>
        <w:t xml:space="preserve"> outreach will be more effective than relying on users to find it organically. The communications plan should include cross-linking from partnering unit websites, as well as broader outreach such as news articles, onboarding materials (including print and braille), information for relevant service desks, and posters or flyers placed in key campus locations.</w:t>
      </w:r>
    </w:p>
    <w:p w:rsidRPr="008C4FA1" w:rsidR="008C4FA1" w:rsidP="28C70CA9" w:rsidRDefault="32077016" w14:paraId="729B317D" w14:textId="1193EBB9">
      <w:pPr>
        <w:pStyle w:val="Heading3"/>
        <w:numPr>
          <w:ilvl w:val="0"/>
          <w:numId w:val="24"/>
        </w:numPr>
      </w:pPr>
      <w:r>
        <w:t>Coordinated Leadership for Supporting Autistic and Neurodivergent Students at Michigan State University</w:t>
      </w:r>
    </w:p>
    <w:p w:rsidR="5475DEAD" w:rsidP="7EF1B1C7" w:rsidRDefault="5475DEAD" w14:paraId="246D7C17" w14:textId="325E873A">
      <w:pPr>
        <w:spacing w:before="210" w:after="210" w:line="300" w:lineRule="auto"/>
        <w:rPr>
          <w:rFonts w:ascii="Aptos" w:hAnsi="Aptos" w:eastAsia="Aptos" w:cs="Aptos"/>
          <w:sz w:val="22"/>
          <w:szCs w:val="22"/>
        </w:rPr>
      </w:pPr>
      <w:r w:rsidRPr="7EF1B1C7">
        <w:rPr>
          <w:rFonts w:ascii="Aptos" w:hAnsi="Aptos" w:eastAsia="Aptos" w:cs="Aptos"/>
          <w:sz w:val="22"/>
          <w:szCs w:val="22"/>
        </w:rPr>
        <w:t xml:space="preserve">Michigan State University is experiencing a significant and sustained rise in the number of autistic and neurodivergent students. This local trend reflects a permanent shift in national enrollment patterns: recent national estimates indicate that </w:t>
      </w:r>
      <w:proofErr w:type="gramStart"/>
      <w:r w:rsidRPr="7EF1B1C7">
        <w:rPr>
          <w:rFonts w:ascii="Aptos" w:hAnsi="Aptos" w:eastAsia="Aptos" w:cs="Aptos"/>
          <w:sz w:val="22"/>
          <w:szCs w:val="22"/>
        </w:rPr>
        <w:t>nearly half</w:t>
      </w:r>
      <w:proofErr w:type="gramEnd"/>
      <w:r w:rsidRPr="7EF1B1C7">
        <w:rPr>
          <w:rFonts w:ascii="Aptos" w:hAnsi="Aptos" w:eastAsia="Aptos" w:cs="Aptos"/>
          <w:sz w:val="22"/>
          <w:szCs w:val="22"/>
        </w:rPr>
        <w:t xml:space="preserve"> (42.9% to 47.0%) of autistic high school students transition to higher education, resulting in an estimated 135,400 to 286,254 autistic undergraduates currently enrolled nationwide. Moreover, this pipeline is accelerating rapidly: CDC data shows autism prevalence was 1 in 68 for our current college seniors when they were 8 years old and has now reached 1 in 31 for today's 8-year-olds (CDC, 2025)</w:t>
      </w:r>
      <w:r w:rsidR="0004286D">
        <w:rPr>
          <w:rFonts w:ascii="Aptos" w:hAnsi="Aptos" w:eastAsia="Aptos" w:cs="Aptos"/>
          <w:sz w:val="22"/>
          <w:szCs w:val="22"/>
        </w:rPr>
        <w:t>.</w:t>
      </w:r>
      <w:r w:rsidR="00670104">
        <w:rPr>
          <w:rStyle w:val="FootnoteReference"/>
          <w:rFonts w:ascii="Aptos" w:hAnsi="Aptos" w:eastAsia="Aptos" w:cs="Aptos"/>
          <w:sz w:val="22"/>
          <w:szCs w:val="22"/>
        </w:rPr>
        <w:footnoteReference w:id="2"/>
      </w:r>
      <w:r w:rsidRPr="7EF1B1C7">
        <w:rPr>
          <w:rFonts w:ascii="Aptos" w:hAnsi="Aptos" w:eastAsia="Aptos" w:cs="Aptos"/>
          <w:sz w:val="22"/>
          <w:szCs w:val="22"/>
        </w:rPr>
        <w:t xml:space="preserve"> This upward trajectory proves </w:t>
      </w:r>
      <w:r w:rsidRPr="7EF1B1C7">
        <w:rPr>
          <w:rFonts w:ascii="Aptos" w:hAnsi="Aptos" w:eastAsia="Aptos" w:cs="Aptos"/>
          <w:sz w:val="22"/>
          <w:szCs w:val="22"/>
        </w:rPr>
        <w:t xml:space="preserve">that the current influx of neurodivergent students at MSU is not a temporary peak, but a permanent, growing pipeline. </w:t>
      </w:r>
    </w:p>
    <w:p w:rsidR="002442A0" w:rsidP="7EF1B1C7" w:rsidRDefault="5475DEAD" w14:paraId="530AF033" w14:textId="77777777">
      <w:pPr>
        <w:spacing w:before="210" w:after="210" w:line="300" w:lineRule="auto"/>
        <w:rPr>
          <w:rFonts w:ascii="Aptos" w:hAnsi="Aptos" w:eastAsia="Aptos" w:cs="Aptos"/>
          <w:color w:val="D13438"/>
          <w:sz w:val="22"/>
          <w:szCs w:val="22"/>
        </w:rPr>
      </w:pPr>
      <w:r w:rsidRPr="7EF1B1C7">
        <w:rPr>
          <w:rFonts w:ascii="Aptos" w:hAnsi="Aptos" w:eastAsia="Aptos" w:cs="Aptos"/>
          <w:sz w:val="22"/>
          <w:szCs w:val="22"/>
        </w:rPr>
        <w:t>This population brings tremendous strengths, and MSU already has substantial expertise and resources across campus dedicated to their success. However, these efforts are fragmented, decentralized, and increasingly insufficient to meet the scale and complexity of this need. We are no longer preparing for a future demographic shift; it is already here. With an estimated 280,000 autistic undergraduates nationwide, researchers note this population “has reached a critical mass that warrants explicit attention by scholars and practitioners.”</w:t>
      </w:r>
      <w:r w:rsidR="00B70995">
        <w:rPr>
          <w:rStyle w:val="FootnoteReference"/>
          <w:rFonts w:ascii="Aptos" w:hAnsi="Aptos" w:eastAsia="Aptos" w:cs="Aptos"/>
          <w:sz w:val="22"/>
          <w:szCs w:val="22"/>
        </w:rPr>
        <w:footnoteReference w:id="3"/>
      </w:r>
      <w:r w:rsidRPr="7EF1B1C7">
        <w:rPr>
          <w:rFonts w:ascii="Aptos" w:hAnsi="Aptos" w:eastAsia="Aptos" w:cs="Aptos"/>
          <w:sz w:val="22"/>
          <w:szCs w:val="22"/>
        </w:rPr>
        <w:t xml:space="preserve"> MSU must respond to this critical mass with dedicated leadership.</w:t>
      </w:r>
    </w:p>
    <w:p w:rsidRPr="002442A0" w:rsidR="193AB30C" w:rsidP="7EF1B1C7" w:rsidRDefault="193AB30C" w14:paraId="1ED2C78E" w14:textId="0ED9C298">
      <w:pPr>
        <w:spacing w:before="210" w:after="210" w:line="300" w:lineRule="auto"/>
        <w:rPr>
          <w:rFonts w:ascii="Aptos" w:hAnsi="Aptos" w:eastAsia="Aptos" w:cs="Aptos"/>
          <w:color w:val="D13438"/>
          <w:sz w:val="22"/>
          <w:szCs w:val="22"/>
        </w:rPr>
      </w:pPr>
      <w:r w:rsidRPr="7EF1B1C7">
        <w:rPr>
          <w:rFonts w:eastAsiaTheme="minorEastAsia"/>
          <w:sz w:val="22"/>
          <w:szCs w:val="22"/>
        </w:rPr>
        <w:t>PACDI recommends that MSU establish a coordinated leadership structure, anchored by a Coordinator for Services Supporting Neurodivergent Students, to unify campus efforts, strengthen student outcomes, and position MSU as a national leader in neuro-inclusive excellence.</w:t>
      </w:r>
    </w:p>
    <w:p w:rsidR="62B00CF4" w:rsidP="28C70CA9" w:rsidRDefault="62B00CF4" w14:paraId="3A558B82" w14:textId="5BE5456E">
      <w:pPr>
        <w:pStyle w:val="Heading4"/>
      </w:pPr>
      <w:r>
        <w:t>Rationale for Recommendation No. 3</w:t>
      </w:r>
    </w:p>
    <w:p w:rsidR="62B00CF4" w:rsidP="34A2C28A" w:rsidRDefault="5789EE28" w14:paraId="15699302" w14:textId="4C3A307C">
      <w:pPr>
        <w:pStyle w:val="Heading5"/>
        <w:spacing w:after="0" w:line="300" w:lineRule="auto"/>
        <w:rPr>
          <w:rFonts w:eastAsiaTheme="minorEastAsia"/>
        </w:rPr>
      </w:pPr>
      <w:r w:rsidRPr="7EF1B1C7">
        <w:rPr>
          <w:rFonts w:eastAsiaTheme="minorEastAsia"/>
        </w:rPr>
        <w:t>3.</w:t>
      </w:r>
      <w:r w:rsidRPr="7EF1B1C7" w:rsidR="3F24CF81">
        <w:rPr>
          <w:rFonts w:eastAsiaTheme="minorEastAsia"/>
        </w:rPr>
        <w:t>1</w:t>
      </w:r>
      <w:r w:rsidRPr="7EF1B1C7" w:rsidR="642DBC47">
        <w:rPr>
          <w:rFonts w:eastAsiaTheme="minorEastAsia"/>
        </w:rPr>
        <w:t xml:space="preserve">: </w:t>
      </w:r>
      <w:r w:rsidRPr="7EF1B1C7" w:rsidR="3F24CF81">
        <w:rPr>
          <w:rFonts w:eastAsiaTheme="minorEastAsia"/>
        </w:rPr>
        <w:t>Growing Student Need and Increasing Complexity</w:t>
      </w:r>
    </w:p>
    <w:p w:rsidR="62B00CF4" w:rsidP="7EF1B1C7" w:rsidRDefault="6BCAB1C1" w14:paraId="26E9CE84" w14:textId="79A101F2">
      <w:pPr>
        <w:spacing w:before="210" w:after="210" w:line="300" w:lineRule="auto"/>
        <w:rPr>
          <w:rFonts w:ascii="Aptos" w:hAnsi="Aptos" w:eastAsia="Aptos" w:cs="Aptos"/>
          <w:sz w:val="22"/>
          <w:szCs w:val="22"/>
        </w:rPr>
      </w:pPr>
      <w:r w:rsidRPr="7EF1B1C7">
        <w:rPr>
          <w:rFonts w:ascii="Aptos" w:hAnsi="Aptos" w:eastAsia="Aptos" w:cs="Aptos"/>
          <w:sz w:val="22"/>
          <w:szCs w:val="22"/>
        </w:rPr>
        <w:t>Autistic and neurodivergent students represent one of the fastest</w:t>
      </w:r>
      <w:r w:rsidR="00060845">
        <w:rPr>
          <w:rFonts w:ascii="Aptos" w:hAnsi="Aptos" w:eastAsia="Aptos" w:cs="Aptos"/>
          <w:sz w:val="22"/>
          <w:szCs w:val="22"/>
        </w:rPr>
        <w:t xml:space="preserve"> </w:t>
      </w:r>
      <w:r w:rsidRPr="7EF1B1C7">
        <w:rPr>
          <w:rFonts w:ascii="Aptos" w:hAnsi="Aptos" w:eastAsia="Aptos" w:cs="Aptos"/>
          <w:sz w:val="22"/>
          <w:szCs w:val="22"/>
        </w:rPr>
        <w:t xml:space="preserve">growing student populations nationally and at MSU. Nationally, autistic students </w:t>
      </w:r>
      <w:proofErr w:type="gramStart"/>
      <w:r w:rsidRPr="7EF1B1C7">
        <w:rPr>
          <w:rFonts w:ascii="Aptos" w:hAnsi="Aptos" w:eastAsia="Aptos" w:cs="Aptos"/>
          <w:sz w:val="22"/>
          <w:szCs w:val="22"/>
        </w:rPr>
        <w:t>are estimated</w:t>
      </w:r>
      <w:proofErr w:type="gramEnd"/>
      <w:r w:rsidRPr="7EF1B1C7">
        <w:rPr>
          <w:rFonts w:ascii="Aptos" w:hAnsi="Aptos" w:eastAsia="Aptos" w:cs="Aptos"/>
          <w:sz w:val="22"/>
          <w:szCs w:val="22"/>
        </w:rPr>
        <w:t xml:space="preserve"> to make up between 0.3% and 4.7% of the entire undergraduate population, and between 2.8% and 4.0% of all students registered with campus Disability Services Offices.</w:t>
      </w:r>
      <w:r w:rsidR="00060845">
        <w:rPr>
          <w:rStyle w:val="FootnoteReference"/>
          <w:rFonts w:ascii="Aptos" w:hAnsi="Aptos" w:eastAsia="Aptos" w:cs="Aptos"/>
          <w:sz w:val="22"/>
          <w:szCs w:val="22"/>
        </w:rPr>
        <w:footnoteReference w:id="4"/>
      </w:r>
      <w:r w:rsidRPr="7EF1B1C7">
        <w:rPr>
          <w:rFonts w:ascii="Aptos" w:hAnsi="Aptos" w:eastAsia="Aptos" w:cs="Aptos"/>
          <w:sz w:val="22"/>
          <w:szCs w:val="22"/>
        </w:rPr>
        <w:t xml:space="preserve"> </w:t>
      </w:r>
    </w:p>
    <w:p w:rsidR="62B00CF4" w:rsidP="7EF1B1C7" w:rsidRDefault="6BCAB1C1" w14:paraId="7F907581" w14:textId="3AD55FF7">
      <w:pPr>
        <w:spacing w:before="210" w:after="210" w:line="300" w:lineRule="auto"/>
        <w:rPr>
          <w:rFonts w:ascii="Aptos" w:hAnsi="Aptos" w:eastAsia="Aptos" w:cs="Aptos"/>
          <w:sz w:val="22"/>
          <w:szCs w:val="22"/>
        </w:rPr>
      </w:pPr>
      <w:r w:rsidRPr="7EF1B1C7">
        <w:rPr>
          <w:rFonts w:ascii="Aptos" w:hAnsi="Aptos" w:eastAsia="Aptos" w:cs="Aptos"/>
          <w:sz w:val="22"/>
          <w:szCs w:val="22"/>
        </w:rPr>
        <w:t xml:space="preserve">At MSU, the data clearly illustrates this rapid and sustained rise: from 2010 to 2016, the proportion of students with </w:t>
      </w:r>
      <w:proofErr w:type="gramStart"/>
      <w:r w:rsidRPr="7EF1B1C7">
        <w:rPr>
          <w:rFonts w:ascii="Aptos" w:hAnsi="Aptos" w:eastAsia="Aptos" w:cs="Aptos"/>
          <w:sz w:val="22"/>
          <w:szCs w:val="22"/>
        </w:rPr>
        <w:t>Autism Spectrum Disorder</w:t>
      </w:r>
      <w:proofErr w:type="gramEnd"/>
      <w:r w:rsidRPr="7EF1B1C7">
        <w:rPr>
          <w:rFonts w:ascii="Aptos" w:hAnsi="Aptos" w:eastAsia="Aptos" w:cs="Aptos"/>
          <w:sz w:val="22"/>
          <w:szCs w:val="22"/>
        </w:rPr>
        <w:t xml:space="preserve"> (ASD) significantly increased from 0.20% to 0.45%. This trajectory has only steepened in recent years. When comparing registrant data from the 2016-2017 academic year to 2024-2025, categories representing neurodivergent students experienced massive growth. Most notably, registrants for learning disabilities and psychiatric/mental health conditions jumped from approximately </w:t>
      </w:r>
      <w:proofErr w:type="gramStart"/>
      <w:r w:rsidRPr="7EF1B1C7">
        <w:rPr>
          <w:rFonts w:ascii="Aptos" w:hAnsi="Aptos" w:eastAsia="Aptos" w:cs="Aptos"/>
          <w:sz w:val="22"/>
          <w:szCs w:val="22"/>
        </w:rPr>
        <w:t>900</w:t>
      </w:r>
      <w:proofErr w:type="gramEnd"/>
      <w:r w:rsidRPr="7EF1B1C7">
        <w:rPr>
          <w:rFonts w:ascii="Aptos" w:hAnsi="Aptos" w:eastAsia="Aptos" w:cs="Aptos"/>
          <w:sz w:val="22"/>
          <w:szCs w:val="22"/>
        </w:rPr>
        <w:t xml:space="preserve"> students in each category to </w:t>
      </w:r>
      <w:proofErr w:type="gramStart"/>
      <w:r w:rsidRPr="7EF1B1C7">
        <w:rPr>
          <w:rFonts w:ascii="Aptos" w:hAnsi="Aptos" w:eastAsia="Aptos" w:cs="Aptos"/>
          <w:sz w:val="22"/>
          <w:szCs w:val="22"/>
        </w:rPr>
        <w:t>nearly 2,500</w:t>
      </w:r>
      <w:proofErr w:type="gramEnd"/>
      <w:r w:rsidRPr="7EF1B1C7">
        <w:rPr>
          <w:rFonts w:ascii="Aptos" w:hAnsi="Aptos" w:eastAsia="Aptos" w:cs="Aptos"/>
          <w:sz w:val="22"/>
          <w:szCs w:val="22"/>
        </w:rPr>
        <w:t xml:space="preserve"> students each.</w:t>
      </w:r>
    </w:p>
    <w:p w:rsidR="00D27052" w:rsidP="008E0220" w:rsidRDefault="00D80F2F" w14:paraId="393EBD23" w14:textId="08801F6A">
      <w:pPr>
        <w:spacing w:before="210" w:after="210" w:line="300" w:lineRule="auto"/>
        <w:jc w:val="center"/>
        <w:rPr>
          <w:rFonts w:ascii="Aptos" w:hAnsi="Aptos" w:eastAsia="Aptos" w:cs="Aptos"/>
          <w:sz w:val="22"/>
          <w:szCs w:val="22"/>
        </w:rPr>
      </w:pPr>
      <w:r>
        <w:rPr>
          <w:noProof/>
        </w:rPr>
        <mc:AlternateContent>
          <mc:Choice Requires="wps">
            <w:drawing>
              <wp:anchor distT="0" distB="0" distL="114300" distR="114300" simplePos="0" relativeHeight="251659264" behindDoc="0" locked="0" layoutInCell="1" allowOverlap="1" wp14:anchorId="22EBBDFB" wp14:editId="46E805BA">
                <wp:simplePos x="0" y="0"/>
                <wp:positionH relativeFrom="column">
                  <wp:posOffset>2647950</wp:posOffset>
                </wp:positionH>
                <wp:positionV relativeFrom="paragraph">
                  <wp:posOffset>212725</wp:posOffset>
                </wp:positionV>
                <wp:extent cx="962025" cy="1924050"/>
                <wp:effectExtent l="0" t="0" r="28575" b="19050"/>
                <wp:wrapNone/>
                <wp:docPr id="7" name="Rectangle 6">
                  <a:extLst xmlns:a="http://schemas.openxmlformats.org/drawingml/2006/main">
                    <a:ext uri="{FF2B5EF4-FFF2-40B4-BE49-F238E27FC236}">
                      <a16:creationId xmlns:a16="http://schemas.microsoft.com/office/drawing/2014/main" id="{2360731F-60DC-34A7-B534-665E13453BAF}"/>
                    </a:ext>
                  </a:extLst>
                </wp:docPr>
                <wp:cNvGraphicFramePr/>
                <a:graphic xmlns:a="http://schemas.openxmlformats.org/drawingml/2006/main">
                  <a:graphicData uri="http://schemas.microsoft.com/office/word/2010/wordprocessingShape">
                    <wps:wsp>
                      <wps:cNvSpPr/>
                      <wps:spPr>
                        <a:xfrm>
                          <a:off x="0" y="0"/>
                          <a:ext cx="962025" cy="1924050"/>
                        </a:xfrm>
                        <a:prstGeom prst="rect">
                          <a:avLst/>
                        </a:prstGeom>
                        <a:gradFill>
                          <a:gsLst>
                            <a:gs pos="100000">
                              <a:srgbClr val="008208">
                                <a:alpha val="17000"/>
                              </a:srgbClr>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w14:anchorId="1033BD25">
              <v:rect id="Rectangle 6" style="position:absolute;margin-left:208.5pt;margin-top:16.75pt;width:75.7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208" strokecolor="#156082 [3204]" strokeweight=".5pt" w14:anchorId="41FB7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">
                <v:fill type="gradient" color2="#64bde6 [1620]" colors="0 #008208;1 #008208" focus="100%" o:opacity2="11141f" rotate="t">
                  <o:fill v:ext="view" type="gradientUnscaled"/>
                </v:fill>
              </v:rect>
            </w:pict>
          </mc:Fallback>
        </mc:AlternateContent>
      </w:r>
      <w:r w:rsidR="00F554F8">
        <w:rPr>
          <w:noProof/>
        </w:rPr>
        <mc:AlternateContent>
          <mc:Choice Requires="wps">
            <w:drawing>
              <wp:anchor distT="0" distB="0" distL="114300" distR="114300" simplePos="0" relativeHeight="251661312" behindDoc="0" locked="0" layoutInCell="1" allowOverlap="1" wp14:anchorId="5E3D35E5" wp14:editId="40E53F64">
                <wp:simplePos x="0" y="0"/>
                <wp:positionH relativeFrom="column">
                  <wp:posOffset>4124325</wp:posOffset>
                </wp:positionH>
                <wp:positionV relativeFrom="paragraph">
                  <wp:posOffset>1870075</wp:posOffset>
                </wp:positionV>
                <wp:extent cx="466725" cy="266700"/>
                <wp:effectExtent l="0" t="0" r="28575" b="19050"/>
                <wp:wrapNone/>
                <wp:docPr id="8" name="Rectangle 7">
                  <a:extLst xmlns:a="http://schemas.openxmlformats.org/drawingml/2006/main">
                    <a:ext uri="{FF2B5EF4-FFF2-40B4-BE49-F238E27FC236}">
                      <a16:creationId xmlns:a16="http://schemas.microsoft.com/office/drawing/2014/main" id="{0954C037-90A9-0052-C56D-8F575E423B62}"/>
                    </a:ext>
                  </a:extLst>
                </wp:docPr>
                <wp:cNvGraphicFramePr/>
                <a:graphic xmlns:a="http://schemas.openxmlformats.org/drawingml/2006/main">
                  <a:graphicData uri="http://schemas.microsoft.com/office/word/2010/wordprocessingShape">
                    <wps:wsp>
                      <wps:cNvSpPr/>
                      <wps:spPr>
                        <a:xfrm>
                          <a:off x="0" y="0"/>
                          <a:ext cx="466725" cy="266700"/>
                        </a:xfrm>
                        <a:prstGeom prst="rect">
                          <a:avLst/>
                        </a:prstGeom>
                        <a:gradFill>
                          <a:gsLst>
                            <a:gs pos="100000">
                              <a:srgbClr val="008208">
                                <a:alpha val="15000"/>
                              </a:srgbClr>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w14:anchorId="50163B58">
              <v:rect id="Rectangle 7" style="position:absolute;margin-left:324.75pt;margin-top:147.25pt;width:3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208" strokecolor="#156082 [3204]" strokeweight=".5pt" w14:anchorId="0C1D2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">
                <v:fill type="gradient" color2="#64bde6 [1620]" colors="0 #008208;1 #008208" focus="100%" o:opacity2="9830f" rotate="t">
                  <o:fill v:ext="view" type="gradientUnscaled"/>
                </v:fill>
              </v:rect>
            </w:pict>
          </mc:Fallback>
        </mc:AlternateContent>
      </w:r>
      <w:r w:rsidR="00BF4885">
        <w:rPr>
          <w:noProof/>
        </w:rPr>
        <w:drawing>
          <wp:inline distT="0" distB="0" distL="0" distR="0" wp14:anchorId="363916D0" wp14:editId="0308DC17">
            <wp:extent cx="5486400" cy="2659978"/>
            <wp:effectExtent l="0" t="0" r="0" b="0"/>
            <wp:docPr id="1" name="Picture 1" descr="Bar chart comparing disability category counts between 2016-17 and 2024-25, with teal bars for 2016-17 and orange bars for 2024-25. Significant increases in Learning, Psychiatric/Mental, and Multiple categories are highlighted, with counts rising from under 1000 to over 2400 in learning disabilities and mental health, and autism cases nearly tripl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comparing disability category counts between 2016-17 and 2024-25, with teal bars for 2016-17 and orange bars for 2024-25. Significant increases in Learning, Psychiatric/Mental, and Multiple categories are highlighted, with counts rising from under 1000 to over 2400 in learning disabilities and mental health, and autism cases nearly tripling.&#10;"/>
                    <pic:cNvPicPr/>
                  </pic:nvPicPr>
                  <pic:blipFill>
                    <a:blip r:embed="rId11"/>
                    <a:stretch>
                      <a:fillRect/>
                    </a:stretch>
                  </pic:blipFill>
                  <pic:spPr>
                    <a:xfrm>
                      <a:off x="0" y="0"/>
                      <a:ext cx="5486400" cy="2659978"/>
                    </a:xfrm>
                    <a:prstGeom prst="rect">
                      <a:avLst/>
                    </a:prstGeom>
                  </pic:spPr>
                </pic:pic>
              </a:graphicData>
            </a:graphic>
          </wp:inline>
        </w:drawing>
      </w:r>
    </w:p>
    <w:p w:rsidRPr="008E0220" w:rsidR="003E2419" w:rsidP="008E0220" w:rsidRDefault="003E2419" w14:paraId="572EE669" w14:textId="45271021">
      <w:pPr>
        <w:spacing w:before="210" w:after="210" w:line="300" w:lineRule="auto"/>
        <w:rPr>
          <w:rFonts w:eastAsiaTheme="minorEastAsia"/>
          <w:sz w:val="18"/>
          <w:szCs w:val="18"/>
        </w:rPr>
      </w:pPr>
      <w:r w:rsidRPr="008E0220">
        <w:rPr>
          <w:rFonts w:eastAsiaTheme="minorEastAsia"/>
          <w:sz w:val="18"/>
          <w:szCs w:val="18"/>
        </w:rPr>
        <w:t xml:space="preserve">RCPD student population </w:t>
      </w:r>
      <w:r w:rsidRPr="008E0220" w:rsidR="00E456D9">
        <w:rPr>
          <w:rFonts w:eastAsiaTheme="minorEastAsia"/>
          <w:sz w:val="18"/>
          <w:szCs w:val="18"/>
        </w:rPr>
        <w:t>2016-17 AY to 2024-25 AY</w:t>
      </w:r>
      <w:r w:rsidRPr="008E0220" w:rsidR="00CA5FD5">
        <w:rPr>
          <w:rFonts w:eastAsiaTheme="minorEastAsia"/>
          <w:sz w:val="18"/>
          <w:szCs w:val="18"/>
        </w:rPr>
        <w:t>:</w:t>
      </w:r>
      <w:r w:rsidRPr="008E0220" w:rsidR="00E456D9">
        <w:rPr>
          <w:rFonts w:eastAsiaTheme="minorEastAsia"/>
          <w:sz w:val="18"/>
          <w:szCs w:val="18"/>
        </w:rPr>
        <w:t xml:space="preserve"> </w:t>
      </w:r>
      <w:r w:rsidRPr="008E0220" w:rsidR="00CA5FD5">
        <w:rPr>
          <w:rFonts w:eastAsiaTheme="minorEastAsia"/>
          <w:sz w:val="18"/>
          <w:szCs w:val="18"/>
        </w:rPr>
        <w:t>n</w:t>
      </w:r>
      <w:r w:rsidRPr="008E0220" w:rsidR="00E456D9">
        <w:rPr>
          <w:rFonts w:eastAsiaTheme="minorEastAsia"/>
          <w:sz w:val="18"/>
          <w:szCs w:val="18"/>
        </w:rPr>
        <w:t>eurodivergent, learning disorder, and mental health comparison</w:t>
      </w:r>
      <w:r w:rsidRPr="008E0220" w:rsidR="0092792F">
        <w:rPr>
          <w:rFonts w:eastAsiaTheme="minorEastAsia"/>
          <w:sz w:val="18"/>
          <w:szCs w:val="18"/>
        </w:rPr>
        <w:t xml:space="preserve">s </w:t>
      </w:r>
      <w:proofErr w:type="gramStart"/>
      <w:r w:rsidRPr="008E0220" w:rsidR="0092792F">
        <w:rPr>
          <w:rFonts w:eastAsiaTheme="minorEastAsia"/>
          <w:sz w:val="18"/>
          <w:szCs w:val="18"/>
        </w:rPr>
        <w:t>highlighted</w:t>
      </w:r>
      <w:proofErr w:type="gramEnd"/>
    </w:p>
    <w:p w:rsidR="62B00CF4" w:rsidP="7EF1B1C7" w:rsidRDefault="62B00CF4" w14:paraId="2C4B3054" w14:textId="1CE34DDD">
      <w:pPr>
        <w:spacing w:before="210" w:after="210" w:line="300" w:lineRule="auto"/>
        <w:rPr>
          <w:rFonts w:eastAsiaTheme="minorEastAsia"/>
          <w:sz w:val="22"/>
          <w:szCs w:val="22"/>
        </w:rPr>
      </w:pPr>
      <w:r w:rsidRPr="7EF1B1C7">
        <w:rPr>
          <w:rFonts w:eastAsiaTheme="minorEastAsia"/>
          <w:sz w:val="22"/>
          <w:szCs w:val="22"/>
        </w:rPr>
        <w:t xml:space="preserve">Their needs extend well beyond academic </w:t>
      </w:r>
      <w:proofErr w:type="gramStart"/>
      <w:r w:rsidRPr="7EF1B1C7">
        <w:rPr>
          <w:rFonts w:eastAsiaTheme="minorEastAsia"/>
          <w:sz w:val="22"/>
          <w:szCs w:val="22"/>
        </w:rPr>
        <w:t>accommodations</w:t>
      </w:r>
      <w:proofErr w:type="gramEnd"/>
      <w:r w:rsidRPr="7EF1B1C7">
        <w:rPr>
          <w:rFonts w:eastAsiaTheme="minorEastAsia"/>
          <w:sz w:val="22"/>
          <w:szCs w:val="22"/>
        </w:rPr>
        <w:t xml:space="preserve"> and include:</w:t>
      </w:r>
    </w:p>
    <w:p w:rsidR="62B00CF4" w:rsidP="7EF1B1C7" w:rsidRDefault="62B00CF4" w14:paraId="14DB2CCD" w14:textId="1C61843A">
      <w:pPr>
        <w:pStyle w:val="ListParagraph"/>
        <w:numPr>
          <w:ilvl w:val="0"/>
          <w:numId w:val="42"/>
        </w:numPr>
        <w:spacing w:after="0" w:line="300" w:lineRule="auto"/>
        <w:rPr>
          <w:rFonts w:eastAsiaTheme="minorEastAsia"/>
          <w:sz w:val="22"/>
          <w:szCs w:val="22"/>
        </w:rPr>
      </w:pPr>
      <w:r w:rsidRPr="7EF1B1C7">
        <w:rPr>
          <w:rFonts w:eastAsiaTheme="minorEastAsia"/>
          <w:sz w:val="22"/>
          <w:szCs w:val="22"/>
        </w:rPr>
        <w:t>Executive functioning and planning</w:t>
      </w:r>
    </w:p>
    <w:p w:rsidR="62B00CF4" w:rsidP="7EF1B1C7" w:rsidRDefault="62B00CF4" w14:paraId="6BF13D02" w14:textId="39D0CB74">
      <w:pPr>
        <w:pStyle w:val="ListParagraph"/>
        <w:numPr>
          <w:ilvl w:val="0"/>
          <w:numId w:val="42"/>
        </w:numPr>
        <w:spacing w:after="0" w:line="300" w:lineRule="auto"/>
        <w:rPr>
          <w:rFonts w:eastAsiaTheme="minorEastAsia"/>
          <w:sz w:val="22"/>
          <w:szCs w:val="22"/>
        </w:rPr>
      </w:pPr>
      <w:r w:rsidRPr="7EF1B1C7">
        <w:rPr>
          <w:rFonts w:eastAsiaTheme="minorEastAsia"/>
          <w:sz w:val="22"/>
          <w:szCs w:val="22"/>
        </w:rPr>
        <w:t>Social navigation and community-building</w:t>
      </w:r>
    </w:p>
    <w:p w:rsidR="62B00CF4" w:rsidP="7EF1B1C7" w:rsidRDefault="62B00CF4" w14:paraId="6B7BE74E" w14:textId="51919C87">
      <w:pPr>
        <w:pStyle w:val="ListParagraph"/>
        <w:numPr>
          <w:ilvl w:val="0"/>
          <w:numId w:val="42"/>
        </w:numPr>
        <w:spacing w:after="0" w:line="300" w:lineRule="auto"/>
        <w:rPr>
          <w:rFonts w:eastAsiaTheme="minorEastAsia"/>
          <w:sz w:val="22"/>
          <w:szCs w:val="22"/>
        </w:rPr>
      </w:pPr>
      <w:r w:rsidRPr="7EF1B1C7">
        <w:rPr>
          <w:rFonts w:eastAsiaTheme="minorEastAsia"/>
          <w:sz w:val="22"/>
          <w:szCs w:val="22"/>
        </w:rPr>
        <w:t>Housing processes and documentation barriers</w:t>
      </w:r>
    </w:p>
    <w:p w:rsidR="62B00CF4" w:rsidP="7EF1B1C7" w:rsidRDefault="62B00CF4" w14:paraId="612D3BB9" w14:textId="061D6CCA">
      <w:pPr>
        <w:pStyle w:val="ListParagraph"/>
        <w:numPr>
          <w:ilvl w:val="0"/>
          <w:numId w:val="42"/>
        </w:numPr>
        <w:spacing w:after="0" w:line="300" w:lineRule="auto"/>
        <w:rPr>
          <w:rFonts w:eastAsiaTheme="minorEastAsia"/>
          <w:sz w:val="22"/>
          <w:szCs w:val="22"/>
        </w:rPr>
      </w:pPr>
      <w:r w:rsidRPr="7EF1B1C7">
        <w:rPr>
          <w:rFonts w:eastAsiaTheme="minorEastAsia"/>
          <w:sz w:val="22"/>
          <w:szCs w:val="22"/>
        </w:rPr>
        <w:t>Instructor expectations and course structure</w:t>
      </w:r>
    </w:p>
    <w:p w:rsidR="62B00CF4" w:rsidP="7EF1B1C7" w:rsidRDefault="62B00CF4" w14:paraId="35EA34B2" w14:textId="0BB63B25">
      <w:pPr>
        <w:pStyle w:val="ListParagraph"/>
        <w:numPr>
          <w:ilvl w:val="0"/>
          <w:numId w:val="42"/>
        </w:numPr>
        <w:spacing w:after="0" w:line="300" w:lineRule="auto"/>
        <w:rPr>
          <w:rFonts w:eastAsiaTheme="minorEastAsia"/>
          <w:sz w:val="22"/>
          <w:szCs w:val="22"/>
        </w:rPr>
      </w:pPr>
      <w:r w:rsidRPr="7EF1B1C7">
        <w:rPr>
          <w:rFonts w:eastAsiaTheme="minorEastAsia"/>
          <w:sz w:val="22"/>
          <w:szCs w:val="22"/>
        </w:rPr>
        <w:t>Academic advising and policy interpretation</w:t>
      </w:r>
    </w:p>
    <w:p w:rsidR="62B00CF4" w:rsidP="7EF1B1C7" w:rsidRDefault="62B00CF4" w14:paraId="1332A203" w14:textId="78B088C2">
      <w:pPr>
        <w:pStyle w:val="ListParagraph"/>
        <w:numPr>
          <w:ilvl w:val="0"/>
          <w:numId w:val="42"/>
        </w:numPr>
        <w:spacing w:after="0" w:line="300" w:lineRule="auto"/>
        <w:rPr>
          <w:rFonts w:eastAsiaTheme="minorEastAsia"/>
          <w:sz w:val="22"/>
          <w:szCs w:val="22"/>
        </w:rPr>
      </w:pPr>
      <w:r w:rsidRPr="7EF1B1C7">
        <w:rPr>
          <w:rFonts w:eastAsiaTheme="minorEastAsia"/>
          <w:sz w:val="22"/>
          <w:szCs w:val="22"/>
        </w:rPr>
        <w:t>Transition to employment or graduate study</w:t>
      </w:r>
    </w:p>
    <w:p w:rsidR="62B00CF4" w:rsidP="7EF1B1C7" w:rsidRDefault="62B00CF4" w14:paraId="2F0E3AF0" w14:textId="71C1F8BD">
      <w:pPr>
        <w:spacing w:before="210" w:after="210" w:line="300" w:lineRule="auto"/>
        <w:rPr>
          <w:rFonts w:eastAsiaTheme="minorEastAsia"/>
          <w:sz w:val="22"/>
          <w:szCs w:val="22"/>
        </w:rPr>
      </w:pPr>
      <w:r w:rsidRPr="7EF1B1C7">
        <w:rPr>
          <w:rFonts w:eastAsiaTheme="minorEastAsia"/>
          <w:sz w:val="22"/>
          <w:szCs w:val="22"/>
        </w:rPr>
        <w:t xml:space="preserve">Without coordinated systems, these needs </w:t>
      </w:r>
      <w:proofErr w:type="gramStart"/>
      <w:r w:rsidRPr="7EF1B1C7">
        <w:rPr>
          <w:rFonts w:eastAsiaTheme="minorEastAsia"/>
          <w:sz w:val="22"/>
          <w:szCs w:val="22"/>
        </w:rPr>
        <w:t>are addressed</w:t>
      </w:r>
      <w:proofErr w:type="gramEnd"/>
      <w:r w:rsidRPr="7EF1B1C7">
        <w:rPr>
          <w:rFonts w:eastAsiaTheme="minorEastAsia"/>
          <w:sz w:val="22"/>
          <w:szCs w:val="22"/>
        </w:rPr>
        <w:t xml:space="preserve"> inconsistently across units, resulting in inequitable experiences and avoidable barriers.</w:t>
      </w:r>
    </w:p>
    <w:p w:rsidR="62B00CF4" w:rsidP="34A2C28A" w:rsidRDefault="3506DDAC" w14:paraId="440C7557" w14:textId="5CC07009">
      <w:pPr>
        <w:pStyle w:val="Heading5"/>
        <w:rPr>
          <w:rFonts w:eastAsiaTheme="minorEastAsia"/>
        </w:rPr>
      </w:pPr>
      <w:r w:rsidRPr="7EF1B1C7">
        <w:rPr>
          <w:rFonts w:eastAsiaTheme="minorEastAsia"/>
        </w:rPr>
        <w:t>3.</w:t>
      </w:r>
      <w:r w:rsidRPr="7EF1B1C7" w:rsidR="3F24CF81">
        <w:rPr>
          <w:rFonts w:eastAsiaTheme="minorEastAsia"/>
        </w:rPr>
        <w:t>2</w:t>
      </w:r>
      <w:r w:rsidRPr="7EF1B1C7">
        <w:rPr>
          <w:rFonts w:eastAsiaTheme="minorEastAsia"/>
        </w:rPr>
        <w:t xml:space="preserve">: </w:t>
      </w:r>
      <w:r w:rsidRPr="7EF1B1C7" w:rsidR="3F24CF81">
        <w:rPr>
          <w:rFonts w:eastAsiaTheme="minorEastAsia"/>
        </w:rPr>
        <w:t>Existing Expertise Is Strong but Disconnected</w:t>
      </w:r>
    </w:p>
    <w:p w:rsidR="62B00CF4" w:rsidP="7EF1B1C7" w:rsidRDefault="62B00CF4" w14:paraId="401C06D6" w14:textId="3E9DB2DE">
      <w:pPr>
        <w:spacing w:before="210" w:after="210" w:line="300" w:lineRule="auto"/>
        <w:rPr>
          <w:rFonts w:eastAsiaTheme="minorEastAsia"/>
          <w:sz w:val="22"/>
          <w:szCs w:val="22"/>
        </w:rPr>
      </w:pPr>
      <w:r w:rsidRPr="7EF1B1C7">
        <w:rPr>
          <w:rFonts w:eastAsiaTheme="minorEastAsia"/>
          <w:sz w:val="22"/>
          <w:szCs w:val="22"/>
        </w:rPr>
        <w:t>MSU has considerable expertise distributed across:</w:t>
      </w:r>
    </w:p>
    <w:p w:rsidR="62B00CF4" w:rsidP="7EF1B1C7" w:rsidRDefault="62B00CF4" w14:paraId="1129A38F" w14:textId="383B484C">
      <w:pPr>
        <w:pStyle w:val="ListParagraph"/>
        <w:numPr>
          <w:ilvl w:val="0"/>
          <w:numId w:val="31"/>
        </w:numPr>
        <w:spacing w:after="0" w:line="300" w:lineRule="auto"/>
        <w:rPr>
          <w:rFonts w:eastAsiaTheme="minorEastAsia"/>
          <w:sz w:val="22"/>
          <w:szCs w:val="22"/>
        </w:rPr>
      </w:pPr>
      <w:r w:rsidRPr="7EF1B1C7">
        <w:rPr>
          <w:rFonts w:eastAsiaTheme="minorEastAsia"/>
          <w:sz w:val="22"/>
          <w:szCs w:val="22"/>
        </w:rPr>
        <w:t>RCPD</w:t>
      </w:r>
    </w:p>
    <w:p w:rsidR="62B00CF4" w:rsidP="3B0A5F13" w:rsidRDefault="62B00CF4" w14:paraId="0E3985D4" w14:textId="27A2745A">
      <w:pPr>
        <w:pStyle w:val="ListParagraph"/>
        <w:numPr>
          <w:ilvl w:val="0"/>
          <w:numId w:val="31"/>
        </w:numPr>
        <w:spacing w:after="0" w:line="300" w:lineRule="auto"/>
        <w:rPr>
          <w:rFonts w:eastAsiaTheme="minorEastAsia"/>
          <w:sz w:val="22"/>
          <w:szCs w:val="22"/>
        </w:rPr>
      </w:pPr>
      <w:r w:rsidRPr="7EF1B1C7">
        <w:rPr>
          <w:rFonts w:eastAsiaTheme="minorEastAsia"/>
          <w:sz w:val="22"/>
          <w:szCs w:val="22"/>
        </w:rPr>
        <w:t xml:space="preserve">The </w:t>
      </w:r>
      <w:r w:rsidRPr="7EF1B1C7" w:rsidR="48AE0885">
        <w:rPr>
          <w:rFonts w:eastAsiaTheme="minorEastAsia"/>
          <w:sz w:val="22"/>
          <w:szCs w:val="22"/>
        </w:rPr>
        <w:t xml:space="preserve">STRIDE </w:t>
      </w:r>
      <w:r w:rsidRPr="7EF1B1C7">
        <w:rPr>
          <w:rFonts w:eastAsiaTheme="minorEastAsia"/>
          <w:sz w:val="22"/>
          <w:szCs w:val="22"/>
        </w:rPr>
        <w:t>Center</w:t>
      </w:r>
    </w:p>
    <w:p w:rsidR="62B00CF4" w:rsidP="7EF1B1C7" w:rsidRDefault="62B00CF4" w14:paraId="7D5BBA03" w14:textId="0858A142">
      <w:pPr>
        <w:pStyle w:val="ListParagraph"/>
        <w:numPr>
          <w:ilvl w:val="0"/>
          <w:numId w:val="31"/>
        </w:numPr>
        <w:spacing w:after="0" w:line="300" w:lineRule="auto"/>
        <w:rPr>
          <w:rFonts w:eastAsiaTheme="minorEastAsia"/>
          <w:sz w:val="22"/>
          <w:szCs w:val="22"/>
        </w:rPr>
      </w:pPr>
      <w:r w:rsidRPr="7EF1B1C7">
        <w:rPr>
          <w:rFonts w:eastAsiaTheme="minorEastAsia"/>
          <w:sz w:val="22"/>
          <w:szCs w:val="22"/>
        </w:rPr>
        <w:t>Academic colleges</w:t>
      </w:r>
    </w:p>
    <w:p w:rsidR="62B00CF4" w:rsidP="7EF1B1C7" w:rsidRDefault="62B00CF4" w14:paraId="27F4731B" w14:textId="5562B5D9">
      <w:pPr>
        <w:pStyle w:val="ListParagraph"/>
        <w:numPr>
          <w:ilvl w:val="0"/>
          <w:numId w:val="31"/>
        </w:numPr>
        <w:spacing w:after="0" w:line="300" w:lineRule="auto"/>
        <w:rPr>
          <w:rFonts w:eastAsiaTheme="minorEastAsia"/>
          <w:sz w:val="22"/>
          <w:szCs w:val="22"/>
        </w:rPr>
      </w:pPr>
      <w:r w:rsidRPr="7EF1B1C7">
        <w:rPr>
          <w:rFonts w:eastAsiaTheme="minorEastAsia"/>
          <w:sz w:val="22"/>
          <w:szCs w:val="22"/>
        </w:rPr>
        <w:t>The Gender and Sexuality Campus Center</w:t>
      </w:r>
    </w:p>
    <w:p w:rsidR="62B00CF4" w:rsidP="7EF1B1C7" w:rsidRDefault="62B00CF4" w14:paraId="79203474" w14:textId="530CBEBC">
      <w:pPr>
        <w:pStyle w:val="ListParagraph"/>
        <w:numPr>
          <w:ilvl w:val="0"/>
          <w:numId w:val="31"/>
        </w:numPr>
        <w:spacing w:after="0" w:line="300" w:lineRule="auto"/>
        <w:rPr>
          <w:rFonts w:eastAsiaTheme="minorEastAsia"/>
          <w:sz w:val="22"/>
          <w:szCs w:val="22"/>
        </w:rPr>
      </w:pPr>
      <w:r w:rsidRPr="7EF1B1C7">
        <w:rPr>
          <w:rFonts w:eastAsiaTheme="minorEastAsia"/>
          <w:sz w:val="22"/>
          <w:szCs w:val="22"/>
        </w:rPr>
        <w:t>Faculty researchers</w:t>
      </w:r>
    </w:p>
    <w:p w:rsidR="62B00CF4" w:rsidP="7EF1B1C7" w:rsidRDefault="62B00CF4" w14:paraId="6FB27231" w14:textId="28EFC197">
      <w:pPr>
        <w:pStyle w:val="ListParagraph"/>
        <w:numPr>
          <w:ilvl w:val="0"/>
          <w:numId w:val="31"/>
        </w:numPr>
        <w:spacing w:after="0" w:line="300" w:lineRule="auto"/>
        <w:rPr>
          <w:rFonts w:eastAsiaTheme="minorEastAsia"/>
          <w:sz w:val="22"/>
          <w:szCs w:val="22"/>
        </w:rPr>
      </w:pPr>
      <w:r w:rsidRPr="7EF1B1C7">
        <w:rPr>
          <w:rFonts w:eastAsiaTheme="minorEastAsia"/>
          <w:sz w:val="22"/>
          <w:szCs w:val="22"/>
        </w:rPr>
        <w:t>Community partnerships and state agencies</w:t>
      </w:r>
    </w:p>
    <w:p w:rsidR="62B00CF4" w:rsidP="7EF1B1C7" w:rsidRDefault="62B00CF4" w14:paraId="50942573" w14:textId="4A3A6091">
      <w:pPr>
        <w:pStyle w:val="ListParagraph"/>
        <w:numPr>
          <w:ilvl w:val="0"/>
          <w:numId w:val="31"/>
        </w:numPr>
        <w:spacing w:after="0" w:line="300" w:lineRule="auto"/>
        <w:rPr>
          <w:rFonts w:eastAsiaTheme="minorEastAsia"/>
          <w:sz w:val="22"/>
          <w:szCs w:val="22"/>
        </w:rPr>
      </w:pPr>
      <w:r w:rsidRPr="7EF1B1C7">
        <w:rPr>
          <w:rFonts w:eastAsiaTheme="minorEastAsia"/>
          <w:sz w:val="22"/>
          <w:szCs w:val="22"/>
        </w:rPr>
        <w:t>Student organizations</w:t>
      </w:r>
    </w:p>
    <w:p w:rsidR="62B00CF4" w:rsidP="7EF1B1C7" w:rsidRDefault="62B00CF4" w14:paraId="26D79D04" w14:textId="22E47DA9">
      <w:pPr>
        <w:spacing w:before="210" w:after="210" w:line="300" w:lineRule="auto"/>
        <w:rPr>
          <w:rFonts w:eastAsiaTheme="minorEastAsia"/>
          <w:sz w:val="22"/>
          <w:szCs w:val="22"/>
        </w:rPr>
      </w:pPr>
      <w:r w:rsidRPr="7EF1B1C7">
        <w:rPr>
          <w:rFonts w:eastAsiaTheme="minorEastAsia"/>
          <w:sz w:val="22"/>
          <w:szCs w:val="22"/>
        </w:rPr>
        <w:t>However, these efforts operate independently due to MSU’s decentralized structure. This leads to:</w:t>
      </w:r>
    </w:p>
    <w:p w:rsidR="62B00CF4" w:rsidP="7EF1B1C7" w:rsidRDefault="62B00CF4" w14:paraId="07F7F392" w14:textId="2B1F8C79">
      <w:pPr>
        <w:pStyle w:val="ListParagraph"/>
        <w:numPr>
          <w:ilvl w:val="0"/>
          <w:numId w:val="27"/>
        </w:numPr>
        <w:spacing w:after="0" w:line="300" w:lineRule="auto"/>
        <w:rPr>
          <w:rFonts w:eastAsiaTheme="minorEastAsia"/>
          <w:sz w:val="22"/>
          <w:szCs w:val="22"/>
        </w:rPr>
      </w:pPr>
      <w:r w:rsidRPr="7EF1B1C7">
        <w:rPr>
          <w:rFonts w:eastAsiaTheme="minorEastAsia"/>
          <w:sz w:val="22"/>
          <w:szCs w:val="22"/>
        </w:rPr>
        <w:t>Reliance on informal labor and goodwill rather than formalized roles</w:t>
      </w:r>
    </w:p>
    <w:p w:rsidR="62B00CF4" w:rsidP="7EF1B1C7" w:rsidRDefault="62B00CF4" w14:paraId="070AC054" w14:textId="492C43D7">
      <w:pPr>
        <w:pStyle w:val="ListParagraph"/>
        <w:numPr>
          <w:ilvl w:val="0"/>
          <w:numId w:val="27"/>
        </w:numPr>
        <w:spacing w:after="0" w:line="300" w:lineRule="auto"/>
        <w:rPr>
          <w:rFonts w:eastAsiaTheme="minorEastAsia"/>
          <w:sz w:val="22"/>
          <w:szCs w:val="22"/>
        </w:rPr>
      </w:pPr>
      <w:r w:rsidRPr="7EF1B1C7">
        <w:rPr>
          <w:rFonts w:eastAsiaTheme="minorEastAsia"/>
          <w:sz w:val="22"/>
          <w:szCs w:val="22"/>
        </w:rPr>
        <w:t>Duplication of work and inconsistent practices</w:t>
      </w:r>
    </w:p>
    <w:p w:rsidR="62B00CF4" w:rsidP="7EF1B1C7" w:rsidRDefault="62B00CF4" w14:paraId="47AEE20F" w14:textId="5C469229">
      <w:pPr>
        <w:pStyle w:val="ListParagraph"/>
        <w:numPr>
          <w:ilvl w:val="0"/>
          <w:numId w:val="27"/>
        </w:numPr>
        <w:spacing w:after="0" w:line="300" w:lineRule="auto"/>
        <w:rPr>
          <w:rFonts w:eastAsiaTheme="minorEastAsia"/>
          <w:sz w:val="22"/>
          <w:szCs w:val="22"/>
        </w:rPr>
      </w:pPr>
      <w:r w:rsidRPr="7EF1B1C7">
        <w:rPr>
          <w:rFonts w:eastAsiaTheme="minorEastAsia"/>
          <w:sz w:val="22"/>
          <w:szCs w:val="22"/>
        </w:rPr>
        <w:t xml:space="preserve">Missed opportunities to scale evidence-based </w:t>
      </w:r>
      <w:proofErr w:type="gramStart"/>
      <w:r w:rsidRPr="7EF1B1C7">
        <w:rPr>
          <w:rFonts w:eastAsiaTheme="minorEastAsia"/>
          <w:sz w:val="22"/>
          <w:szCs w:val="22"/>
        </w:rPr>
        <w:t>strategies</w:t>
      </w:r>
      <w:proofErr w:type="gramEnd"/>
    </w:p>
    <w:p w:rsidRPr="00473BA3" w:rsidR="62B00CF4" w:rsidP="7EF1B1C7" w:rsidRDefault="62B00CF4" w14:paraId="2F91FB33" w14:textId="439DF9D4">
      <w:pPr>
        <w:pStyle w:val="ListParagraph"/>
        <w:numPr>
          <w:ilvl w:val="0"/>
          <w:numId w:val="27"/>
        </w:numPr>
        <w:spacing w:after="0" w:line="300" w:lineRule="auto"/>
        <w:rPr>
          <w:rFonts w:eastAsiaTheme="minorEastAsia"/>
          <w:sz w:val="22"/>
          <w:szCs w:val="22"/>
        </w:rPr>
      </w:pPr>
      <w:r w:rsidRPr="00473BA3">
        <w:rPr>
          <w:rFonts w:eastAsiaTheme="minorEastAsia"/>
          <w:sz w:val="22"/>
          <w:szCs w:val="22"/>
        </w:rPr>
        <w:t xml:space="preserve">Difficulty communicating a coherent message to families, students, and external </w:t>
      </w:r>
      <w:proofErr w:type="gramStart"/>
      <w:r w:rsidRPr="00473BA3">
        <w:rPr>
          <w:rFonts w:eastAsiaTheme="minorEastAsia"/>
          <w:sz w:val="22"/>
          <w:szCs w:val="22"/>
        </w:rPr>
        <w:t>partners</w:t>
      </w:r>
      <w:proofErr w:type="gramEnd"/>
    </w:p>
    <w:p w:rsidRPr="00473BA3" w:rsidR="28C70CA9" w:rsidP="7EF1B1C7" w:rsidRDefault="1275E15C" w14:paraId="10188007" w14:textId="39339C94">
      <w:pPr>
        <w:pStyle w:val="ListParagraph"/>
        <w:numPr>
          <w:ilvl w:val="0"/>
          <w:numId w:val="27"/>
        </w:numPr>
        <w:spacing w:after="0" w:line="300" w:lineRule="auto"/>
        <w:rPr>
          <w:rFonts w:eastAsiaTheme="minorEastAsia"/>
          <w:sz w:val="22"/>
          <w:szCs w:val="22"/>
        </w:rPr>
      </w:pPr>
      <w:r w:rsidRPr="00473BA3">
        <w:rPr>
          <w:rFonts w:eastAsiaTheme="minorEastAsia"/>
          <w:sz w:val="22"/>
          <w:szCs w:val="22"/>
        </w:rPr>
        <w:t xml:space="preserve">Reliance on RCPD to address all disability related </w:t>
      </w:r>
      <w:proofErr w:type="gramStart"/>
      <w:r w:rsidRPr="00473BA3">
        <w:rPr>
          <w:rFonts w:eastAsiaTheme="minorEastAsia"/>
          <w:sz w:val="22"/>
          <w:szCs w:val="22"/>
        </w:rPr>
        <w:t>matters</w:t>
      </w:r>
      <w:proofErr w:type="gramEnd"/>
    </w:p>
    <w:p w:rsidRPr="00473BA3" w:rsidR="28C70CA9" w:rsidP="7EF1B1C7" w:rsidRDefault="28C70CA9" w14:paraId="74E68150" w14:textId="08E25254">
      <w:pPr>
        <w:spacing w:after="0" w:line="300" w:lineRule="auto"/>
        <w:rPr>
          <w:rFonts w:eastAsia="Aptos" w:cs="Aptos"/>
          <w:sz w:val="22"/>
          <w:szCs w:val="22"/>
        </w:rPr>
      </w:pPr>
    </w:p>
    <w:p w:rsidRPr="00473BA3" w:rsidR="28C70CA9" w:rsidP="7EF1B1C7" w:rsidRDefault="1275E15C" w14:paraId="4017DCA8" w14:textId="36CA45DD">
      <w:pPr>
        <w:spacing w:after="0" w:line="300" w:lineRule="auto"/>
        <w:rPr>
          <w:rFonts w:eastAsia="Aptos" w:cs="Aptos"/>
          <w:sz w:val="22"/>
          <w:szCs w:val="22"/>
        </w:rPr>
      </w:pPr>
      <w:r w:rsidRPr="00473BA3">
        <w:rPr>
          <w:rFonts w:eastAsia="Aptos" w:cs="Aptos"/>
          <w:sz w:val="22"/>
          <w:szCs w:val="22"/>
        </w:rPr>
        <w:t>National higher education researchers now warn that relying solely on a disability services office is an inadequate and unsustainable position due to the increasing volume and complexity of this population.</w:t>
      </w:r>
      <w:r w:rsidR="00514D0A">
        <w:rPr>
          <w:rStyle w:val="FootnoteReference"/>
          <w:rFonts w:eastAsia="Aptos" w:cs="Aptos"/>
          <w:sz w:val="22"/>
          <w:szCs w:val="22"/>
        </w:rPr>
        <w:footnoteReference w:id="5"/>
      </w:r>
      <w:r w:rsidRPr="00473BA3">
        <w:rPr>
          <w:rFonts w:eastAsia="Aptos" w:cs="Aptos"/>
          <w:sz w:val="22"/>
          <w:szCs w:val="22"/>
        </w:rPr>
        <w:t xml:space="preserve"> At MSU, our continued reliance on the RCPD and decentralized, informal labor prevents us from taking the necessary “campus-wide approach” to inclusion and support.</w:t>
      </w:r>
    </w:p>
    <w:p w:rsidRPr="00473BA3" w:rsidR="00473BA3" w:rsidP="7EF1B1C7" w:rsidRDefault="00473BA3" w14:paraId="71EFBAA5" w14:textId="77777777">
      <w:pPr>
        <w:spacing w:after="0" w:line="300" w:lineRule="auto"/>
        <w:rPr>
          <w:rFonts w:eastAsia="Aptos" w:cs="Aptos"/>
          <w:sz w:val="22"/>
          <w:szCs w:val="22"/>
        </w:rPr>
      </w:pPr>
    </w:p>
    <w:p w:rsidRPr="00473BA3" w:rsidR="00473BA3" w:rsidP="7EF1B1C7" w:rsidRDefault="00473BA3" w14:paraId="01F613EB" w14:textId="042DCAFF">
      <w:pPr>
        <w:spacing w:after="0" w:line="300" w:lineRule="auto"/>
        <w:rPr>
          <w:rFonts w:eastAsia="Aptos" w:cs="Aptos"/>
          <w:sz w:val="22"/>
          <w:szCs w:val="22"/>
        </w:rPr>
      </w:pPr>
      <w:r w:rsidRPr="00473BA3">
        <w:rPr>
          <w:sz w:val="22"/>
          <w:szCs w:val="22"/>
        </w:rPr>
        <w:t xml:space="preserve">The cost of relying on decentralized, informal support networks </w:t>
      </w:r>
      <w:proofErr w:type="gramStart"/>
      <w:r w:rsidRPr="00473BA3">
        <w:rPr>
          <w:sz w:val="22"/>
          <w:szCs w:val="22"/>
        </w:rPr>
        <w:t>is reflected</w:t>
      </w:r>
      <w:proofErr w:type="gramEnd"/>
      <w:r w:rsidRPr="00473BA3">
        <w:rPr>
          <w:sz w:val="22"/>
          <w:szCs w:val="22"/>
        </w:rPr>
        <w:t xml:space="preserve"> directly in student attrition. Nationally, the college graduation rate for autistic students remains stagnant at approximately 39%, compared to over 60% for the general student population (U.S. Department of Education NLTS2; National Center for Education Statistics).</w:t>
      </w:r>
      <w:r w:rsidR="007C3853">
        <w:rPr>
          <w:rStyle w:val="FootnoteReference"/>
          <w:sz w:val="22"/>
          <w:szCs w:val="22"/>
        </w:rPr>
        <w:footnoteReference w:id="6"/>
      </w:r>
      <w:r w:rsidRPr="00473BA3">
        <w:rPr>
          <w:sz w:val="22"/>
          <w:szCs w:val="22"/>
        </w:rPr>
        <w:t xml:space="preserve"> Over half of autistic college students leave their institutions before completing a degree. At MSU, the lack of a centralized support structure—and the subsequent reliance on disconnected campus units—directly contributes to this attrition risk, representing a significant loss of tuition revenue, institutional investment, and student potential.</w:t>
      </w:r>
    </w:p>
    <w:p w:rsidR="28C70CA9" w:rsidP="7EF1B1C7" w:rsidRDefault="28C70CA9" w14:paraId="6A337BEC" w14:textId="6CBA91D6">
      <w:pPr>
        <w:spacing w:after="0" w:line="300" w:lineRule="auto"/>
        <w:rPr>
          <w:rFonts w:ascii="Aptos" w:hAnsi="Aptos" w:eastAsia="Aptos" w:cs="Aptos"/>
          <w:sz w:val="22"/>
          <w:szCs w:val="22"/>
        </w:rPr>
      </w:pPr>
    </w:p>
    <w:p w:rsidR="28C70CA9" w:rsidP="00473BA3" w:rsidRDefault="584AE64F" w14:paraId="3AC801E6" w14:textId="255F947C">
      <w:pPr>
        <w:pStyle w:val="Heading5"/>
        <w:rPr>
          <w:rFonts w:eastAsiaTheme="minorEastAsia"/>
        </w:rPr>
      </w:pPr>
      <w:r>
        <w:t>3.</w:t>
      </w:r>
      <w:r w:rsidR="3F24CF81">
        <w:t>3</w:t>
      </w:r>
      <w:r>
        <w:t xml:space="preserve">: </w:t>
      </w:r>
      <w:r w:rsidR="3F24CF81">
        <w:t>Competitive Pressure from Peer Institutions</w:t>
      </w:r>
    </w:p>
    <w:p w:rsidR="62B00CF4" w:rsidP="7EF1B1C7" w:rsidRDefault="62B00CF4" w14:paraId="5E92B774" w14:textId="0FD532CC">
      <w:pPr>
        <w:spacing w:before="210" w:after="210" w:line="300" w:lineRule="auto"/>
        <w:rPr>
          <w:rFonts w:eastAsiaTheme="minorEastAsia"/>
          <w:sz w:val="22"/>
          <w:szCs w:val="22"/>
        </w:rPr>
      </w:pPr>
      <w:r w:rsidRPr="7EF1B1C7">
        <w:rPr>
          <w:rFonts w:eastAsiaTheme="minorEastAsia"/>
          <w:sz w:val="22"/>
          <w:szCs w:val="22"/>
        </w:rPr>
        <w:t>Peer institutions are rapidly expanding neurodiversity initiatives, creating:</w:t>
      </w:r>
    </w:p>
    <w:p w:rsidR="62B00CF4" w:rsidP="7EF1B1C7" w:rsidRDefault="62B00CF4" w14:paraId="31F98B33" w14:textId="03AA9587">
      <w:pPr>
        <w:pStyle w:val="ListParagraph"/>
        <w:numPr>
          <w:ilvl w:val="0"/>
          <w:numId w:val="20"/>
        </w:numPr>
        <w:spacing w:after="0" w:line="300" w:lineRule="auto"/>
        <w:rPr>
          <w:rFonts w:eastAsiaTheme="minorEastAsia"/>
          <w:sz w:val="22"/>
          <w:szCs w:val="22"/>
        </w:rPr>
      </w:pPr>
      <w:r w:rsidRPr="7EF1B1C7">
        <w:rPr>
          <w:rFonts w:eastAsiaTheme="minorEastAsia"/>
          <w:sz w:val="22"/>
          <w:szCs w:val="22"/>
        </w:rPr>
        <w:t xml:space="preserve">Coordinated service </w:t>
      </w:r>
      <w:proofErr w:type="gramStart"/>
      <w:r w:rsidRPr="7EF1B1C7">
        <w:rPr>
          <w:rFonts w:eastAsiaTheme="minorEastAsia"/>
          <w:sz w:val="22"/>
          <w:szCs w:val="22"/>
        </w:rPr>
        <w:t>hubs</w:t>
      </w:r>
      <w:proofErr w:type="gramEnd"/>
    </w:p>
    <w:p w:rsidR="62B00CF4" w:rsidP="7EF1B1C7" w:rsidRDefault="62B00CF4" w14:paraId="7161FAC6" w14:textId="3BA1C714">
      <w:pPr>
        <w:pStyle w:val="ListParagraph"/>
        <w:numPr>
          <w:ilvl w:val="0"/>
          <w:numId w:val="20"/>
        </w:numPr>
        <w:spacing w:after="0" w:line="300" w:lineRule="auto"/>
        <w:rPr>
          <w:rFonts w:eastAsiaTheme="minorEastAsia"/>
          <w:sz w:val="22"/>
          <w:szCs w:val="22"/>
        </w:rPr>
      </w:pPr>
      <w:r w:rsidRPr="7EF1B1C7">
        <w:rPr>
          <w:rFonts w:eastAsiaTheme="minorEastAsia"/>
          <w:sz w:val="22"/>
          <w:szCs w:val="22"/>
        </w:rPr>
        <w:t>Comprehensive transition and employment programs</w:t>
      </w:r>
    </w:p>
    <w:p w:rsidR="62B00CF4" w:rsidP="7EF1B1C7" w:rsidRDefault="62B00CF4" w14:paraId="5009C71E" w14:textId="08A4D7B0">
      <w:pPr>
        <w:pStyle w:val="ListParagraph"/>
        <w:numPr>
          <w:ilvl w:val="0"/>
          <w:numId w:val="20"/>
        </w:numPr>
        <w:spacing w:after="0" w:line="300" w:lineRule="auto"/>
        <w:rPr>
          <w:rFonts w:eastAsiaTheme="minorEastAsia"/>
          <w:sz w:val="22"/>
          <w:szCs w:val="22"/>
        </w:rPr>
      </w:pPr>
      <w:r w:rsidRPr="7EF1B1C7">
        <w:rPr>
          <w:rFonts w:eastAsiaTheme="minorEastAsia"/>
          <w:sz w:val="22"/>
          <w:szCs w:val="22"/>
        </w:rPr>
        <w:t xml:space="preserve">Embedded universal design </w:t>
      </w:r>
      <w:proofErr w:type="gramStart"/>
      <w:r w:rsidRPr="7EF1B1C7">
        <w:rPr>
          <w:rFonts w:eastAsiaTheme="minorEastAsia"/>
          <w:sz w:val="22"/>
          <w:szCs w:val="22"/>
        </w:rPr>
        <w:t>practices</w:t>
      </w:r>
      <w:proofErr w:type="gramEnd"/>
    </w:p>
    <w:p w:rsidR="62B00CF4" w:rsidP="7EF1B1C7" w:rsidRDefault="62B00CF4" w14:paraId="4AE06EF2" w14:textId="75B5B237">
      <w:pPr>
        <w:pStyle w:val="ListParagraph"/>
        <w:numPr>
          <w:ilvl w:val="0"/>
          <w:numId w:val="20"/>
        </w:numPr>
        <w:spacing w:after="0" w:line="300" w:lineRule="auto"/>
        <w:rPr>
          <w:rFonts w:eastAsiaTheme="minorEastAsia"/>
          <w:sz w:val="22"/>
          <w:szCs w:val="22"/>
        </w:rPr>
      </w:pPr>
      <w:r w:rsidRPr="7EF1B1C7">
        <w:rPr>
          <w:rFonts w:eastAsiaTheme="minorEastAsia"/>
          <w:sz w:val="22"/>
          <w:szCs w:val="22"/>
        </w:rPr>
        <w:t>Staff training systems</w:t>
      </w:r>
    </w:p>
    <w:p w:rsidR="62B00CF4" w:rsidP="7EF1B1C7" w:rsidRDefault="62B00CF4" w14:paraId="5459966D" w14:textId="41F80702">
      <w:pPr>
        <w:pStyle w:val="ListParagraph"/>
        <w:numPr>
          <w:ilvl w:val="0"/>
          <w:numId w:val="20"/>
        </w:numPr>
        <w:spacing w:after="0" w:line="300" w:lineRule="auto"/>
        <w:rPr>
          <w:rFonts w:eastAsiaTheme="minorEastAsia"/>
          <w:sz w:val="22"/>
          <w:szCs w:val="22"/>
        </w:rPr>
      </w:pPr>
      <w:r w:rsidRPr="7EF1B1C7">
        <w:rPr>
          <w:rFonts w:eastAsiaTheme="minorEastAsia"/>
          <w:sz w:val="22"/>
          <w:szCs w:val="22"/>
        </w:rPr>
        <w:t>Central academic support models</w:t>
      </w:r>
    </w:p>
    <w:p w:rsidR="005A19BD" w:rsidP="00C4655C" w:rsidRDefault="005A19BD" w14:paraId="4E00F035" w14:textId="77777777">
      <w:pPr>
        <w:pStyle w:val="paragraph"/>
        <w:spacing w:before="210" w:beforeAutospacing="0" w:after="210" w:afterAutospacing="0"/>
        <w:textAlignment w:val="baseline"/>
      </w:pPr>
      <w:r>
        <w:rPr>
          <w:rStyle w:val="normaltextrun"/>
          <w:rFonts w:ascii="Aptos" w:hAnsi="Aptos" w:eastAsiaTheme="majorEastAsia"/>
          <w:sz w:val="22"/>
          <w:szCs w:val="22"/>
        </w:rPr>
        <w:t xml:space="preserve">MSU risks falling behind in recruitment, retention, and national reputation if structural improvements </w:t>
      </w:r>
      <w:proofErr w:type="gramStart"/>
      <w:r>
        <w:rPr>
          <w:rStyle w:val="normaltextrun"/>
          <w:rFonts w:ascii="Aptos" w:hAnsi="Aptos" w:eastAsiaTheme="majorEastAsia"/>
          <w:sz w:val="22"/>
          <w:szCs w:val="22"/>
        </w:rPr>
        <w:t>are not made</w:t>
      </w:r>
      <w:proofErr w:type="gramEnd"/>
      <w:r>
        <w:rPr>
          <w:rStyle w:val="normaltextrun"/>
          <w:rFonts w:ascii="Aptos" w:hAnsi="Aptos" w:eastAsiaTheme="majorEastAsia"/>
          <w:sz w:val="22"/>
          <w:szCs w:val="22"/>
        </w:rPr>
        <w:t>. The national landscape of higher education is rapidly shifting. Research confirms that “institutions are increasingly creating autism-specific support programs.” Recent directives emphasize that standard ADA compliance is no longer sufficient. In their 2023 recommendations for higher education leaders, Dwyer et al. explicitly state that universities must designate a single, dedicated coordinator and establish comprehensive transition programs to ensure the success and retention of neurodivergent students</w:t>
      </w:r>
      <w:proofErr w:type="gramStart"/>
      <w:r>
        <w:rPr>
          <w:rStyle w:val="normaltextrun"/>
          <w:rFonts w:ascii="Aptos" w:hAnsi="Aptos" w:eastAsiaTheme="majorEastAsia"/>
          <w:sz w:val="22"/>
          <w:szCs w:val="22"/>
        </w:rPr>
        <w:t>. </w:t>
      </w:r>
      <w:r>
        <w:rPr>
          <w:rStyle w:val="eop"/>
          <w:rFonts w:ascii="Aptos" w:hAnsi="Aptos" w:eastAsiaTheme="majorEastAsia"/>
          <w:sz w:val="22"/>
          <w:szCs w:val="22"/>
        </w:rPr>
        <w:t> </w:t>
      </w:r>
      <w:proofErr w:type="gramEnd"/>
    </w:p>
    <w:p w:rsidR="005A19BD" w:rsidP="00C4655C" w:rsidRDefault="005A19BD" w14:paraId="150BFF5E" w14:textId="71520E2E">
      <w:pPr>
        <w:pStyle w:val="paragraph"/>
        <w:spacing w:before="0" w:beforeAutospacing="0" w:after="160" w:afterAutospacing="0"/>
        <w:textAlignment w:val="baseline"/>
      </w:pPr>
      <w:r>
        <w:rPr>
          <w:rStyle w:val="normaltextrun"/>
          <w:rFonts w:ascii="Aptos" w:hAnsi="Aptos" w:eastAsiaTheme="majorEastAsia"/>
          <w:sz w:val="22"/>
          <w:szCs w:val="22"/>
        </w:rPr>
        <w:t>Data tracked by the College Autism Network (CAN)</w:t>
      </w:r>
      <w:r w:rsidR="00C4655C">
        <w:rPr>
          <w:rStyle w:val="normaltextrun"/>
          <w:rFonts w:ascii="Aptos" w:hAnsi="Aptos" w:eastAsiaTheme="majorEastAsia"/>
          <w:sz w:val="22"/>
          <w:szCs w:val="22"/>
        </w:rPr>
        <w:t xml:space="preserve">, </w:t>
      </w:r>
      <w:r>
        <w:rPr>
          <w:rStyle w:val="normaltextrun"/>
          <w:rFonts w:ascii="Aptos" w:hAnsi="Aptos" w:eastAsiaTheme="majorEastAsia"/>
          <w:sz w:val="22"/>
          <w:szCs w:val="22"/>
        </w:rPr>
        <w:t>a leading national research hub founded by MSU’s own faculty</w:t>
      </w:r>
      <w:r w:rsidR="00C4655C">
        <w:rPr>
          <w:rStyle w:val="normaltextrun"/>
          <w:rFonts w:ascii="Aptos" w:hAnsi="Aptos" w:eastAsiaTheme="majorEastAsia"/>
          <w:sz w:val="22"/>
          <w:szCs w:val="22"/>
        </w:rPr>
        <w:t xml:space="preserve">, </w:t>
      </w:r>
      <w:r>
        <w:rPr>
          <w:rStyle w:val="normaltextrun"/>
          <w:rFonts w:ascii="Aptos" w:hAnsi="Aptos" w:eastAsiaTheme="majorEastAsia"/>
          <w:sz w:val="22"/>
          <w:szCs w:val="22"/>
        </w:rPr>
        <w:t xml:space="preserve">demonstrates a rapid proliferation of autism-specific college support programs across the country. CAN's national database has documented the launch of over </w:t>
      </w:r>
      <w:proofErr w:type="gramStart"/>
      <w:r>
        <w:rPr>
          <w:rStyle w:val="normaltextrun"/>
          <w:rFonts w:ascii="Aptos" w:hAnsi="Aptos" w:eastAsiaTheme="majorEastAsia"/>
          <w:sz w:val="22"/>
          <w:szCs w:val="22"/>
        </w:rPr>
        <w:t>100</w:t>
      </w:r>
      <w:proofErr w:type="gramEnd"/>
      <w:r>
        <w:rPr>
          <w:rStyle w:val="normaltextrun"/>
          <w:rFonts w:ascii="Aptos" w:hAnsi="Aptos" w:eastAsiaTheme="majorEastAsia"/>
          <w:sz w:val="22"/>
          <w:szCs w:val="22"/>
        </w:rPr>
        <w:t xml:space="preserve"> dedicated programs nationwide. Crucially, their research shows that competing institutions are actively pivoting from decentralized, informal support to funding </w:t>
      </w:r>
      <w:proofErr w:type="gramStart"/>
      <w:r>
        <w:rPr>
          <w:rStyle w:val="normaltextrun"/>
          <w:rFonts w:ascii="Aptos" w:hAnsi="Aptos" w:eastAsiaTheme="majorEastAsia"/>
          <w:sz w:val="22"/>
          <w:szCs w:val="22"/>
        </w:rPr>
        <w:t>dedicated</w:t>
      </w:r>
      <w:proofErr w:type="gramEnd"/>
      <w:r>
        <w:rPr>
          <w:rStyle w:val="normaltextrun"/>
          <w:rFonts w:ascii="Aptos" w:hAnsi="Aptos" w:eastAsiaTheme="majorEastAsia"/>
          <w:sz w:val="22"/>
          <w:szCs w:val="22"/>
        </w:rPr>
        <w:t xml:space="preserve"> “Neurodiversity Hubs” and coordinator positions. This represents a significant institutional commitment: national data indicates universities are now dedicating an average of $3,000 to $5,000 annually per student in operating investments for these specialized programs, recognizing the immense return on retention and preserved tuition revenue. Direct competitors within the Big Ten are already capturing this demographic and making these exact investments. For example, Rutgers University operates the College Support Program (CSP) with dedicated executive functioning coordinators, while the University of Iowa has heavily invested in its comprehensive UI REACH program. By establishing a Coordinator role, MSU can leverage its existing in-house national expertise to close this competitive gap and position itself as a premier destination for neurodivergent talent, rather than losing students—and their associated tuition—to peer institutions that have already formalized and funded these essential support structures.</w:t>
      </w:r>
      <w:r>
        <w:rPr>
          <w:rStyle w:val="eop"/>
          <w:rFonts w:ascii="Aptos" w:hAnsi="Aptos" w:eastAsiaTheme="majorEastAsia"/>
          <w:color w:val="D13438"/>
          <w:sz w:val="22"/>
          <w:szCs w:val="22"/>
        </w:rPr>
        <w:t> </w:t>
      </w:r>
    </w:p>
    <w:p w:rsidR="62B00CF4" w:rsidP="34A2C28A" w:rsidRDefault="584AE64F" w14:paraId="71F044AA" w14:textId="26975B12">
      <w:pPr>
        <w:pStyle w:val="Heading5"/>
        <w:rPr>
          <w:rFonts w:eastAsiaTheme="minorEastAsia"/>
        </w:rPr>
      </w:pPr>
      <w:r w:rsidRPr="7EF1B1C7">
        <w:rPr>
          <w:rFonts w:eastAsiaTheme="minorEastAsia"/>
        </w:rPr>
        <w:t>3.</w:t>
      </w:r>
      <w:r w:rsidRPr="7EF1B1C7" w:rsidR="3F24CF81">
        <w:rPr>
          <w:rFonts w:eastAsiaTheme="minorEastAsia"/>
        </w:rPr>
        <w:t>4</w:t>
      </w:r>
      <w:r w:rsidRPr="7EF1B1C7">
        <w:rPr>
          <w:rFonts w:eastAsiaTheme="minorEastAsia"/>
        </w:rPr>
        <w:t xml:space="preserve">: </w:t>
      </w:r>
      <w:r w:rsidRPr="7EF1B1C7" w:rsidR="3F24CF81">
        <w:rPr>
          <w:rFonts w:eastAsiaTheme="minorEastAsia"/>
        </w:rPr>
        <w:t>Workforce Demand for Neurodivergent Talent</w:t>
      </w:r>
    </w:p>
    <w:p w:rsidRPr="00C91B98" w:rsidR="00C91B98" w:rsidP="00C91B98" w:rsidRDefault="00C91B98" w14:paraId="682E13B0" w14:textId="77777777">
      <w:pPr>
        <w:spacing w:before="210" w:after="210" w:line="300" w:lineRule="auto"/>
        <w:rPr>
          <w:rFonts w:eastAsiaTheme="minorEastAsia"/>
          <w:sz w:val="22"/>
          <w:szCs w:val="22"/>
        </w:rPr>
      </w:pPr>
      <w:r w:rsidRPr="00C91B98">
        <w:rPr>
          <w:rFonts w:eastAsiaTheme="minorEastAsia"/>
          <w:sz w:val="22"/>
          <w:szCs w:val="22"/>
        </w:rPr>
        <w:t xml:space="preserve">Major employers have launched specialized hiring pathways and are actively seeking autistic talent for roles requiring analytical reasoning, creativity, pattern recognition, and high </w:t>
      </w:r>
      <w:proofErr w:type="gramStart"/>
      <w:r w:rsidRPr="00C91B98">
        <w:rPr>
          <w:rFonts w:eastAsiaTheme="minorEastAsia"/>
          <w:sz w:val="22"/>
          <w:szCs w:val="22"/>
        </w:rPr>
        <w:t>attention to detail</w:t>
      </w:r>
      <w:proofErr w:type="gramEnd"/>
      <w:r w:rsidRPr="00C91B98">
        <w:rPr>
          <w:rFonts w:eastAsiaTheme="minorEastAsia"/>
          <w:sz w:val="22"/>
          <w:szCs w:val="22"/>
        </w:rPr>
        <w:t xml:space="preserve">. However, without dedicated support to </w:t>
      </w:r>
      <w:proofErr w:type="gramStart"/>
      <w:r w:rsidRPr="00C91B98">
        <w:rPr>
          <w:rFonts w:eastAsiaTheme="minorEastAsia"/>
          <w:sz w:val="22"/>
          <w:szCs w:val="22"/>
        </w:rPr>
        <w:t>navigate</w:t>
      </w:r>
      <w:proofErr w:type="gramEnd"/>
      <w:r w:rsidRPr="00C91B98">
        <w:rPr>
          <w:rFonts w:eastAsiaTheme="minorEastAsia"/>
          <w:sz w:val="22"/>
          <w:szCs w:val="22"/>
        </w:rPr>
        <w:t xml:space="preserve"> the complex transition from college to career, </w:t>
      </w:r>
      <w:proofErr w:type="gramStart"/>
      <w:r w:rsidRPr="00C91B98">
        <w:rPr>
          <w:rFonts w:eastAsiaTheme="minorEastAsia"/>
          <w:sz w:val="22"/>
          <w:szCs w:val="22"/>
        </w:rPr>
        <w:t>many</w:t>
      </w:r>
      <w:proofErr w:type="gramEnd"/>
      <w:r w:rsidRPr="00C91B98">
        <w:rPr>
          <w:rFonts w:eastAsiaTheme="minorEastAsia"/>
          <w:sz w:val="22"/>
          <w:szCs w:val="22"/>
        </w:rPr>
        <w:t xml:space="preserve"> neurodivergent students struggle to connect with these corporate opportunities. </w:t>
      </w:r>
    </w:p>
    <w:p w:rsidR="00107D6D" w:rsidP="34A2C28A" w:rsidRDefault="00C91B98" w14:paraId="6393776E" w14:textId="372B8D17">
      <w:pPr>
        <w:spacing w:before="210" w:after="210" w:line="300" w:lineRule="auto"/>
        <w:rPr>
          <w:rFonts w:eastAsiaTheme="minorEastAsia"/>
          <w:sz w:val="22"/>
          <w:szCs w:val="22"/>
        </w:rPr>
      </w:pPr>
      <w:r w:rsidRPr="00C91B98">
        <w:rPr>
          <w:rFonts w:eastAsiaTheme="minorEastAsia"/>
          <w:sz w:val="22"/>
          <w:szCs w:val="22"/>
        </w:rPr>
        <w:t>Peer institutions are already capitalizing on this demand by building structured employment pipelines. For example, the University of Connecticut (UConn) hosts the Center for Neurodiversity &amp; Employment Innovation. UConn utilizes centrally funded coordinators specifically to bridge the gap between academic life and corporate employment. Institutions utilizing this model recognize that funding a dedicated coordinator yields a direct return on investment by funneling neurodivergent students directly into high-paying corporate partnerships. </w:t>
      </w:r>
      <w:r w:rsidR="00D05675">
        <w:rPr>
          <w:rFonts w:eastAsiaTheme="minorEastAsia"/>
          <w:sz w:val="22"/>
          <w:szCs w:val="22"/>
        </w:rPr>
        <w:t>Additional information on peer institutions with neur</w:t>
      </w:r>
      <w:r w:rsidR="00B021D4">
        <w:rPr>
          <w:rFonts w:eastAsiaTheme="minorEastAsia"/>
          <w:sz w:val="22"/>
          <w:szCs w:val="22"/>
        </w:rPr>
        <w:t>odivergent programming in Addendum B.</w:t>
      </w:r>
    </w:p>
    <w:p w:rsidR="62B00CF4" w:rsidP="34A2C28A" w:rsidRDefault="3F24CF81" w14:paraId="201A060C" w14:textId="3A04C201">
      <w:pPr>
        <w:spacing w:before="210" w:after="210" w:line="300" w:lineRule="auto"/>
        <w:rPr>
          <w:rFonts w:eastAsiaTheme="minorEastAsia"/>
          <w:sz w:val="22"/>
          <w:szCs w:val="22"/>
        </w:rPr>
      </w:pPr>
      <w:r w:rsidRPr="7EF1B1C7">
        <w:rPr>
          <w:rFonts w:eastAsiaTheme="minorEastAsia"/>
          <w:sz w:val="22"/>
          <w:szCs w:val="22"/>
        </w:rPr>
        <w:t>Strengthening MSU’s pipeline</w:t>
      </w:r>
      <w:r w:rsidRPr="7EF1B1C7" w:rsidR="584AE64F">
        <w:rPr>
          <w:rFonts w:eastAsiaTheme="minorEastAsia"/>
          <w:sz w:val="22"/>
          <w:szCs w:val="22"/>
        </w:rPr>
        <w:t xml:space="preserve"> </w:t>
      </w:r>
      <w:r w:rsidRPr="7EF1B1C7">
        <w:rPr>
          <w:rFonts w:eastAsiaTheme="minorEastAsia"/>
          <w:sz w:val="22"/>
          <w:szCs w:val="22"/>
        </w:rPr>
        <w:t>from enrollment to career transition</w:t>
      </w:r>
      <w:r w:rsidRPr="7EF1B1C7" w:rsidR="584AE64F">
        <w:rPr>
          <w:rFonts w:eastAsiaTheme="minorEastAsia"/>
          <w:sz w:val="22"/>
          <w:szCs w:val="22"/>
        </w:rPr>
        <w:t xml:space="preserve"> </w:t>
      </w:r>
      <w:r w:rsidRPr="7EF1B1C7">
        <w:rPr>
          <w:rFonts w:eastAsiaTheme="minorEastAsia"/>
          <w:sz w:val="22"/>
          <w:szCs w:val="22"/>
        </w:rPr>
        <w:t>will benefit students, employers, and the institution while directly aligning with MSU’s commitments to workforce readiness and civic impact.</w:t>
      </w:r>
    </w:p>
    <w:p w:rsidR="0E396140" w:rsidP="7EF1B1C7" w:rsidRDefault="0E396140" w14:paraId="2B5B9E55" w14:textId="13A5C7D7">
      <w:pPr>
        <w:spacing w:after="0" w:line="300" w:lineRule="auto"/>
        <w:rPr>
          <w:rFonts w:eastAsiaTheme="minorEastAsia"/>
          <w:sz w:val="22"/>
          <w:szCs w:val="22"/>
        </w:rPr>
      </w:pPr>
      <w:r w:rsidRPr="7EF1B1C7">
        <w:rPr>
          <w:rFonts w:eastAsiaTheme="minorEastAsia"/>
          <w:sz w:val="22"/>
          <w:szCs w:val="22"/>
        </w:rPr>
        <w:t>PACDI recommends the establishment of a coordinated leadership structure anchored by a Coordinator for Services Supporting Neurodivergent Students to unify currently decentralized efforts, improve consistency, and address the growing needs of autistic and neurodivergent students. This recommendation directly advances the MSU 2030 Strategic Plan’s priorities around student success, inclusive excellence, and interdisciplinary collaboration by creating a sustainable framework for assessment, training, policy alignment, and campus-wide coordination. With rising neurodivergent enrollment, increasing complexity of student needs, and strong workforce demand for neurodivergent talent, MSU has a timely opportunity to leverage its existing expertise, strengthen institutional efficiency, and position itself as a national leader in neuro-inclusive higher education. Investing in this structure will improve student outcomes, reduce staff burnout, enhance institutional competitiveness, and demonstrate MSU’s commitment to creating an accessible, equitable, and forward‑thinking learning environment.</w:t>
      </w:r>
    </w:p>
    <w:p w:rsidR="4EBA809A" w:rsidP="28C70CA9" w:rsidRDefault="4EBA809A" w14:paraId="0DC2D250" w14:textId="3C2DA20D">
      <w:pPr>
        <w:pStyle w:val="Heading4"/>
      </w:pPr>
      <w:r>
        <w:t>Implementing Recommendation No. 3</w:t>
      </w:r>
    </w:p>
    <w:p w:rsidR="21D62E8E" w:rsidP="7EF1B1C7" w:rsidRDefault="21D62E8E" w14:paraId="213A479B" w14:textId="3DB1B290">
      <w:pPr>
        <w:spacing w:before="210" w:after="210" w:line="300" w:lineRule="auto"/>
        <w:rPr>
          <w:rFonts w:eastAsiaTheme="minorEastAsia"/>
          <w:sz w:val="22"/>
          <w:szCs w:val="22"/>
        </w:rPr>
      </w:pPr>
      <w:r w:rsidRPr="7EF1B1C7">
        <w:rPr>
          <w:rFonts w:eastAsiaTheme="minorEastAsia"/>
          <w:sz w:val="22"/>
          <w:szCs w:val="22"/>
        </w:rPr>
        <w:t xml:space="preserve">Successfully establishing this coordinator role will require </w:t>
      </w:r>
      <w:proofErr w:type="gramStart"/>
      <w:r w:rsidRPr="7EF1B1C7">
        <w:rPr>
          <w:rFonts w:eastAsiaTheme="minorEastAsia"/>
          <w:sz w:val="22"/>
          <w:szCs w:val="22"/>
        </w:rPr>
        <w:t>several</w:t>
      </w:r>
      <w:proofErr w:type="gramEnd"/>
      <w:r w:rsidRPr="7EF1B1C7">
        <w:rPr>
          <w:rFonts w:eastAsiaTheme="minorEastAsia"/>
          <w:sz w:val="22"/>
          <w:szCs w:val="22"/>
        </w:rPr>
        <w:t xml:space="preserve"> intentional steps to ensure it </w:t>
      </w:r>
      <w:proofErr w:type="gramStart"/>
      <w:r w:rsidRPr="7EF1B1C7">
        <w:rPr>
          <w:rFonts w:eastAsiaTheme="minorEastAsia"/>
          <w:sz w:val="22"/>
          <w:szCs w:val="22"/>
        </w:rPr>
        <w:t>is positioned</w:t>
      </w:r>
      <w:proofErr w:type="gramEnd"/>
      <w:r w:rsidRPr="7EF1B1C7">
        <w:rPr>
          <w:rFonts w:eastAsiaTheme="minorEastAsia"/>
          <w:sz w:val="22"/>
          <w:szCs w:val="22"/>
        </w:rPr>
        <w:t xml:space="preserve"> for campus-wide influence, visibility, and long-term sustainability. Key actions include:</w:t>
      </w:r>
    </w:p>
    <w:p w:rsidR="21D62E8E" w:rsidP="34A2C28A" w:rsidRDefault="1B3351FD" w14:paraId="632A6F13" w14:textId="14A91AD7">
      <w:pPr>
        <w:pStyle w:val="Heading5"/>
        <w:rPr>
          <w:rFonts w:eastAsiaTheme="minorEastAsia"/>
        </w:rPr>
      </w:pPr>
      <w:r w:rsidRPr="7EF1B1C7">
        <w:rPr>
          <w:rFonts w:eastAsiaTheme="minorEastAsia"/>
        </w:rPr>
        <w:t>3.</w:t>
      </w:r>
      <w:r w:rsidRPr="7EF1B1C7" w:rsidR="7B6B4197">
        <w:rPr>
          <w:rFonts w:eastAsiaTheme="minorEastAsia"/>
        </w:rPr>
        <w:t>1</w:t>
      </w:r>
      <w:r w:rsidRPr="7EF1B1C7">
        <w:rPr>
          <w:rFonts w:eastAsiaTheme="minorEastAsia"/>
        </w:rPr>
        <w:t xml:space="preserve">: </w:t>
      </w:r>
      <w:r w:rsidRPr="7EF1B1C7" w:rsidR="7B6B4197">
        <w:rPr>
          <w:rFonts w:eastAsiaTheme="minorEastAsia"/>
        </w:rPr>
        <w:t>Identify the most appropriate unit to house the position</w:t>
      </w:r>
    </w:p>
    <w:p w:rsidR="21D62E8E" w:rsidP="34A2C28A" w:rsidRDefault="7B6B4197" w14:paraId="021FB899" w14:textId="2C1B9656">
      <w:pPr>
        <w:pStyle w:val="ListParagraph"/>
        <w:numPr>
          <w:ilvl w:val="0"/>
          <w:numId w:val="14"/>
        </w:numPr>
        <w:spacing w:after="0" w:line="300" w:lineRule="auto"/>
        <w:rPr>
          <w:rFonts w:eastAsiaTheme="minorEastAsia"/>
          <w:sz w:val="22"/>
          <w:szCs w:val="22"/>
        </w:rPr>
      </w:pPr>
      <w:r w:rsidRPr="7EF1B1C7">
        <w:rPr>
          <w:rFonts w:eastAsiaTheme="minorEastAsia"/>
          <w:sz w:val="22"/>
          <w:szCs w:val="22"/>
        </w:rPr>
        <w:t>Evaluate central offices with university-wide reach</w:t>
      </w:r>
      <w:r w:rsidRPr="7EF1B1C7" w:rsidR="1B3351FD">
        <w:rPr>
          <w:rFonts w:eastAsiaTheme="minorEastAsia"/>
          <w:sz w:val="22"/>
          <w:szCs w:val="22"/>
        </w:rPr>
        <w:t xml:space="preserve"> </w:t>
      </w:r>
      <w:r w:rsidRPr="7EF1B1C7">
        <w:rPr>
          <w:rFonts w:eastAsiaTheme="minorEastAsia"/>
          <w:sz w:val="22"/>
          <w:szCs w:val="22"/>
        </w:rPr>
        <w:t>such as the Office for Inclusive Excellence and Impact</w:t>
      </w:r>
      <w:r w:rsidRPr="7EF1B1C7" w:rsidR="1B3351FD">
        <w:rPr>
          <w:rFonts w:eastAsiaTheme="minorEastAsia"/>
          <w:sz w:val="22"/>
          <w:szCs w:val="22"/>
        </w:rPr>
        <w:t xml:space="preserve"> </w:t>
      </w:r>
      <w:r w:rsidRPr="7EF1B1C7">
        <w:rPr>
          <w:rFonts w:eastAsiaTheme="minorEastAsia"/>
          <w:sz w:val="22"/>
          <w:szCs w:val="22"/>
        </w:rPr>
        <w:t>as potential homes for the role.</w:t>
      </w:r>
    </w:p>
    <w:p w:rsidR="21D62E8E" w:rsidP="7EF1B1C7" w:rsidRDefault="21D62E8E" w14:paraId="10BD56EB" w14:textId="232DF048">
      <w:pPr>
        <w:pStyle w:val="ListParagraph"/>
        <w:numPr>
          <w:ilvl w:val="0"/>
          <w:numId w:val="14"/>
        </w:numPr>
        <w:spacing w:after="0" w:line="300" w:lineRule="auto"/>
        <w:rPr>
          <w:rFonts w:eastAsiaTheme="minorEastAsia"/>
          <w:sz w:val="22"/>
          <w:szCs w:val="22"/>
        </w:rPr>
      </w:pPr>
      <w:r w:rsidRPr="7EF1B1C7">
        <w:rPr>
          <w:rFonts w:eastAsiaTheme="minorEastAsia"/>
          <w:sz w:val="22"/>
          <w:szCs w:val="22"/>
        </w:rPr>
        <w:t>Consider how different placements may affect student engagement (e.g., whether students who do not identify as disabled would feel comfortable seeking support).</w:t>
      </w:r>
    </w:p>
    <w:p w:rsidR="353E9F7F" w:rsidP="34A2C28A" w:rsidRDefault="3F305F7D" w14:paraId="34418D41" w14:textId="5FEFD4EB">
      <w:pPr>
        <w:pStyle w:val="ListParagraph"/>
        <w:numPr>
          <w:ilvl w:val="0"/>
          <w:numId w:val="14"/>
        </w:numPr>
        <w:spacing w:after="0" w:line="300" w:lineRule="auto"/>
        <w:rPr>
          <w:rFonts w:eastAsiaTheme="minorEastAsia"/>
          <w:sz w:val="22"/>
          <w:szCs w:val="22"/>
        </w:rPr>
      </w:pPr>
      <w:r w:rsidRPr="7EF1B1C7">
        <w:rPr>
          <w:rFonts w:eastAsiaTheme="minorEastAsia"/>
          <w:sz w:val="22"/>
          <w:szCs w:val="22"/>
        </w:rPr>
        <w:t xml:space="preserve">Ensure </w:t>
      </w:r>
      <w:r w:rsidRPr="7EF1B1C7" w:rsidR="7B6B4197">
        <w:rPr>
          <w:rFonts w:eastAsiaTheme="minorEastAsia"/>
          <w:sz w:val="22"/>
          <w:szCs w:val="22"/>
        </w:rPr>
        <w:t>the selected unit has sufficient authority to coordinate resources and practices across colleges and administrative units.</w:t>
      </w:r>
    </w:p>
    <w:p w:rsidR="21D62E8E" w:rsidP="34A2C28A" w:rsidRDefault="7B6B4197" w14:paraId="1D1ED9B0" w14:textId="22C99093">
      <w:pPr>
        <w:pStyle w:val="ListParagraph"/>
        <w:numPr>
          <w:ilvl w:val="0"/>
          <w:numId w:val="14"/>
        </w:numPr>
        <w:spacing w:after="0" w:line="300" w:lineRule="auto"/>
        <w:rPr>
          <w:rFonts w:eastAsiaTheme="minorEastAsia"/>
          <w:sz w:val="22"/>
          <w:szCs w:val="22"/>
        </w:rPr>
      </w:pPr>
      <w:r w:rsidRPr="7EF1B1C7">
        <w:rPr>
          <w:rFonts w:eastAsiaTheme="minorEastAsia"/>
          <w:sz w:val="22"/>
          <w:szCs w:val="22"/>
        </w:rPr>
        <w:t xml:space="preserve">Engage relevant </w:t>
      </w:r>
      <w:r w:rsidRPr="7EF1B1C7" w:rsidR="4B0B3539">
        <w:rPr>
          <w:rFonts w:eastAsiaTheme="minorEastAsia"/>
          <w:sz w:val="22"/>
          <w:szCs w:val="22"/>
        </w:rPr>
        <w:t xml:space="preserve">unit </w:t>
      </w:r>
      <w:r w:rsidRPr="7EF1B1C7">
        <w:rPr>
          <w:rFonts w:eastAsiaTheme="minorEastAsia"/>
          <w:sz w:val="22"/>
          <w:szCs w:val="22"/>
        </w:rPr>
        <w:t>leadership and stakeholders to assess alignment, visibility, and scope.</w:t>
      </w:r>
      <w:r w:rsidR="21D62E8E">
        <w:br/>
      </w:r>
    </w:p>
    <w:p w:rsidR="21D62E8E" w:rsidP="34A2C28A" w:rsidRDefault="27A1B1ED" w14:paraId="24F4A41E" w14:textId="14F518E2">
      <w:pPr>
        <w:pStyle w:val="Heading5"/>
        <w:rPr>
          <w:rFonts w:eastAsiaTheme="minorEastAsia"/>
        </w:rPr>
      </w:pPr>
      <w:r w:rsidRPr="7EF1B1C7">
        <w:rPr>
          <w:rFonts w:eastAsiaTheme="minorEastAsia"/>
        </w:rPr>
        <w:t>3.</w:t>
      </w:r>
      <w:r w:rsidRPr="7EF1B1C7" w:rsidR="7B6B4197">
        <w:rPr>
          <w:rFonts w:eastAsiaTheme="minorEastAsia"/>
        </w:rPr>
        <w:t>2</w:t>
      </w:r>
      <w:r w:rsidRPr="7EF1B1C7">
        <w:rPr>
          <w:rFonts w:eastAsiaTheme="minorEastAsia"/>
        </w:rPr>
        <w:t xml:space="preserve">: </w:t>
      </w:r>
      <w:r w:rsidRPr="7EF1B1C7" w:rsidR="7B6B4197">
        <w:rPr>
          <w:rFonts w:eastAsiaTheme="minorEastAsia"/>
        </w:rPr>
        <w:t>Establish reporting structure and identify funding</w:t>
      </w:r>
    </w:p>
    <w:p w:rsidR="21D62E8E" w:rsidP="7EF1B1C7" w:rsidRDefault="21D62E8E" w14:paraId="5037BD58" w14:textId="57644F6B">
      <w:pPr>
        <w:pStyle w:val="ListParagraph"/>
        <w:numPr>
          <w:ilvl w:val="0"/>
          <w:numId w:val="15"/>
        </w:numPr>
        <w:spacing w:after="0" w:line="300" w:lineRule="auto"/>
        <w:rPr>
          <w:rFonts w:eastAsiaTheme="minorEastAsia"/>
          <w:sz w:val="22"/>
          <w:szCs w:val="22"/>
        </w:rPr>
      </w:pPr>
      <w:r w:rsidRPr="7EF1B1C7">
        <w:rPr>
          <w:rFonts w:eastAsiaTheme="minorEastAsia"/>
          <w:sz w:val="22"/>
          <w:szCs w:val="22"/>
        </w:rPr>
        <w:t>Work with leadership in the selected unit to determine the appropriate reporting line and decision-making authority for the role.</w:t>
      </w:r>
    </w:p>
    <w:p w:rsidR="21D62E8E" w:rsidP="7EF1B1C7" w:rsidRDefault="21D62E8E" w14:paraId="481AEF99" w14:textId="242DF2A5">
      <w:pPr>
        <w:pStyle w:val="ListParagraph"/>
        <w:numPr>
          <w:ilvl w:val="0"/>
          <w:numId w:val="15"/>
        </w:numPr>
        <w:spacing w:after="0" w:line="300" w:lineRule="auto"/>
        <w:rPr>
          <w:rFonts w:eastAsiaTheme="minorEastAsia"/>
          <w:sz w:val="22"/>
          <w:szCs w:val="22"/>
        </w:rPr>
      </w:pPr>
      <w:r w:rsidRPr="7EF1B1C7">
        <w:rPr>
          <w:rFonts w:eastAsiaTheme="minorEastAsia"/>
          <w:sz w:val="22"/>
          <w:szCs w:val="22"/>
        </w:rPr>
        <w:t xml:space="preserve">Assess existing budgetary capacity, including whether vacant positions could </w:t>
      </w:r>
      <w:proofErr w:type="gramStart"/>
      <w:r w:rsidRPr="7EF1B1C7">
        <w:rPr>
          <w:rFonts w:eastAsiaTheme="minorEastAsia"/>
          <w:sz w:val="22"/>
          <w:szCs w:val="22"/>
        </w:rPr>
        <w:t>be redirected</w:t>
      </w:r>
      <w:proofErr w:type="gramEnd"/>
      <w:r w:rsidRPr="7EF1B1C7">
        <w:rPr>
          <w:rFonts w:eastAsiaTheme="minorEastAsia"/>
          <w:sz w:val="22"/>
          <w:szCs w:val="22"/>
        </w:rPr>
        <w:t xml:space="preserve"> to support this function.</w:t>
      </w:r>
    </w:p>
    <w:p w:rsidR="21D62E8E" w:rsidP="7EF1B1C7" w:rsidRDefault="21D62E8E" w14:paraId="59D23F23" w14:textId="7E1F45D2">
      <w:pPr>
        <w:pStyle w:val="ListParagraph"/>
        <w:numPr>
          <w:ilvl w:val="0"/>
          <w:numId w:val="15"/>
        </w:numPr>
        <w:spacing w:after="0" w:line="300" w:lineRule="auto"/>
        <w:rPr>
          <w:rFonts w:eastAsiaTheme="minorEastAsia"/>
          <w:sz w:val="22"/>
          <w:szCs w:val="22"/>
        </w:rPr>
      </w:pPr>
      <w:r w:rsidRPr="7EF1B1C7">
        <w:rPr>
          <w:rFonts w:eastAsiaTheme="minorEastAsia"/>
          <w:sz w:val="22"/>
          <w:szCs w:val="22"/>
        </w:rPr>
        <w:t xml:space="preserve">Determine whether new funding </w:t>
      </w:r>
      <w:proofErr w:type="gramStart"/>
      <w:r w:rsidRPr="7EF1B1C7">
        <w:rPr>
          <w:rFonts w:eastAsiaTheme="minorEastAsia"/>
          <w:sz w:val="22"/>
          <w:szCs w:val="22"/>
        </w:rPr>
        <w:t>is required</w:t>
      </w:r>
      <w:proofErr w:type="gramEnd"/>
      <w:r w:rsidRPr="7EF1B1C7">
        <w:rPr>
          <w:rFonts w:eastAsiaTheme="minorEastAsia"/>
          <w:sz w:val="22"/>
          <w:szCs w:val="22"/>
        </w:rPr>
        <w:t xml:space="preserve"> and, if so, pursue it through the annual budget cycle or other institutional channels.</w:t>
      </w:r>
      <w:r>
        <w:br/>
      </w:r>
    </w:p>
    <w:p w:rsidR="21D62E8E" w:rsidP="34A2C28A" w:rsidRDefault="60116C39" w14:paraId="2B7E0B27" w14:textId="472B3BE3">
      <w:pPr>
        <w:pStyle w:val="Heading5"/>
        <w:rPr>
          <w:rFonts w:eastAsiaTheme="minorEastAsia"/>
        </w:rPr>
      </w:pPr>
      <w:r w:rsidRPr="7EF1B1C7">
        <w:rPr>
          <w:rFonts w:eastAsiaTheme="minorEastAsia"/>
        </w:rPr>
        <w:t>3.</w:t>
      </w:r>
      <w:r w:rsidRPr="7EF1B1C7" w:rsidR="7B6B4197">
        <w:rPr>
          <w:rFonts w:eastAsiaTheme="minorEastAsia"/>
        </w:rPr>
        <w:t>3</w:t>
      </w:r>
      <w:r w:rsidRPr="7EF1B1C7">
        <w:rPr>
          <w:rFonts w:eastAsiaTheme="minorEastAsia"/>
        </w:rPr>
        <w:t xml:space="preserve">: </w:t>
      </w:r>
      <w:r w:rsidRPr="7EF1B1C7" w:rsidR="7B6B4197">
        <w:rPr>
          <w:rFonts w:eastAsiaTheme="minorEastAsia"/>
        </w:rPr>
        <w:t>Define the scope, responsibilities, and expectations for the position</w:t>
      </w:r>
      <w:r w:rsidRPr="7EF1B1C7" w:rsidR="2763F035">
        <w:rPr>
          <w:rFonts w:eastAsiaTheme="minorEastAsia"/>
        </w:rPr>
        <w:t xml:space="preserve"> with a goal of strengthening MSU’s position in becoming a national leader in neuro-inclusive practices.</w:t>
      </w:r>
    </w:p>
    <w:p w:rsidR="21D62E8E" w:rsidP="7EF1B1C7" w:rsidRDefault="21D62E8E" w14:paraId="069CA03D" w14:textId="762C0DC8">
      <w:pPr>
        <w:pStyle w:val="ListParagraph"/>
        <w:numPr>
          <w:ilvl w:val="0"/>
          <w:numId w:val="17"/>
        </w:numPr>
        <w:spacing w:after="0" w:line="300" w:lineRule="auto"/>
        <w:rPr>
          <w:rFonts w:eastAsiaTheme="minorEastAsia"/>
          <w:sz w:val="22"/>
          <w:szCs w:val="22"/>
        </w:rPr>
      </w:pPr>
      <w:r w:rsidRPr="7EF1B1C7">
        <w:rPr>
          <w:rFonts w:eastAsiaTheme="minorEastAsia"/>
          <w:sz w:val="22"/>
          <w:szCs w:val="22"/>
        </w:rPr>
        <w:t xml:space="preserve">Ensure the role includes core responsibilities outlined in PACDI discussions, including: </w:t>
      </w:r>
    </w:p>
    <w:p w:rsidR="21D62E8E" w:rsidP="7EF1B1C7" w:rsidRDefault="21D62E8E" w14:paraId="12994BBA" w14:textId="7EC24E0E">
      <w:pPr>
        <w:pStyle w:val="ListParagraph"/>
        <w:numPr>
          <w:ilvl w:val="1"/>
          <w:numId w:val="17"/>
        </w:numPr>
        <w:spacing w:after="0" w:line="300" w:lineRule="auto"/>
        <w:rPr>
          <w:rFonts w:eastAsiaTheme="minorEastAsia"/>
          <w:sz w:val="22"/>
          <w:szCs w:val="22"/>
        </w:rPr>
      </w:pPr>
      <w:r w:rsidRPr="7EF1B1C7">
        <w:rPr>
          <w:rFonts w:eastAsiaTheme="minorEastAsia"/>
          <w:sz w:val="22"/>
          <w:szCs w:val="22"/>
        </w:rPr>
        <w:t xml:space="preserve">Conducting </w:t>
      </w:r>
      <w:r w:rsidRPr="7EF1B1C7" w:rsidR="4E46F405">
        <w:rPr>
          <w:rFonts w:eastAsiaTheme="minorEastAsia"/>
          <w:sz w:val="22"/>
          <w:szCs w:val="22"/>
        </w:rPr>
        <w:t>campus</w:t>
      </w:r>
      <w:r w:rsidRPr="7EF1B1C7">
        <w:rPr>
          <w:rFonts w:eastAsiaTheme="minorEastAsia"/>
          <w:sz w:val="22"/>
          <w:szCs w:val="22"/>
        </w:rPr>
        <w:t>-wide needs and capacity assessment.</w:t>
      </w:r>
    </w:p>
    <w:p w:rsidR="21D62E8E" w:rsidP="7EF1B1C7" w:rsidRDefault="21D62E8E" w14:paraId="454B83C9" w14:textId="729FD09E">
      <w:pPr>
        <w:pStyle w:val="ListParagraph"/>
        <w:numPr>
          <w:ilvl w:val="1"/>
          <w:numId w:val="17"/>
        </w:numPr>
        <w:spacing w:after="0" w:line="300" w:lineRule="auto"/>
        <w:rPr>
          <w:rFonts w:eastAsiaTheme="minorEastAsia"/>
          <w:sz w:val="22"/>
          <w:szCs w:val="22"/>
        </w:rPr>
      </w:pPr>
      <w:r w:rsidRPr="7EF1B1C7">
        <w:rPr>
          <w:rFonts w:eastAsiaTheme="minorEastAsia"/>
          <w:sz w:val="22"/>
          <w:szCs w:val="22"/>
        </w:rPr>
        <w:t xml:space="preserve">Serving as </w:t>
      </w:r>
      <w:proofErr w:type="gramStart"/>
      <w:r w:rsidRPr="7EF1B1C7">
        <w:rPr>
          <w:rFonts w:eastAsiaTheme="minorEastAsia"/>
          <w:sz w:val="22"/>
          <w:szCs w:val="22"/>
        </w:rPr>
        <w:t>a central point</w:t>
      </w:r>
      <w:proofErr w:type="gramEnd"/>
      <w:r w:rsidRPr="7EF1B1C7">
        <w:rPr>
          <w:rFonts w:eastAsiaTheme="minorEastAsia"/>
          <w:sz w:val="22"/>
          <w:szCs w:val="22"/>
        </w:rPr>
        <w:t xml:space="preserve"> of contact for students, faculty, and staff.</w:t>
      </w:r>
    </w:p>
    <w:p w:rsidR="21D62E8E" w:rsidP="7EF1B1C7" w:rsidRDefault="21D62E8E" w14:paraId="11F384EB" w14:textId="79C3411E">
      <w:pPr>
        <w:pStyle w:val="ListParagraph"/>
        <w:numPr>
          <w:ilvl w:val="1"/>
          <w:numId w:val="17"/>
        </w:numPr>
        <w:spacing w:after="0" w:line="300" w:lineRule="auto"/>
        <w:rPr>
          <w:rFonts w:eastAsiaTheme="minorEastAsia"/>
          <w:sz w:val="22"/>
          <w:szCs w:val="22"/>
        </w:rPr>
      </w:pPr>
      <w:r w:rsidRPr="7EF1B1C7">
        <w:rPr>
          <w:rFonts w:eastAsiaTheme="minorEastAsia"/>
          <w:sz w:val="22"/>
          <w:szCs w:val="22"/>
        </w:rPr>
        <w:t>Coordinating training on universal design and best practices for supporting neurodivergent students.</w:t>
      </w:r>
    </w:p>
    <w:p w:rsidR="21D62E8E" w:rsidP="7EF1B1C7" w:rsidRDefault="21D62E8E" w14:paraId="6BDD111D" w14:textId="338E54B1">
      <w:pPr>
        <w:pStyle w:val="ListParagraph"/>
        <w:numPr>
          <w:ilvl w:val="1"/>
          <w:numId w:val="17"/>
        </w:numPr>
        <w:spacing w:after="0" w:line="300" w:lineRule="auto"/>
        <w:rPr>
          <w:rFonts w:eastAsiaTheme="minorEastAsia"/>
          <w:sz w:val="22"/>
          <w:szCs w:val="22"/>
        </w:rPr>
      </w:pPr>
      <w:r w:rsidRPr="7EF1B1C7">
        <w:rPr>
          <w:rFonts w:eastAsiaTheme="minorEastAsia"/>
          <w:sz w:val="22"/>
          <w:szCs w:val="22"/>
        </w:rPr>
        <w:t>Building partnerships across academic, student-facing, and administrative units.</w:t>
      </w:r>
    </w:p>
    <w:p w:rsidR="21D62E8E" w:rsidP="7EF1B1C7" w:rsidRDefault="21D62E8E" w14:paraId="445C5B25" w14:textId="0F6DE1B7">
      <w:pPr>
        <w:pStyle w:val="ListParagraph"/>
        <w:numPr>
          <w:ilvl w:val="1"/>
          <w:numId w:val="17"/>
        </w:numPr>
        <w:spacing w:after="0" w:line="300" w:lineRule="auto"/>
        <w:rPr>
          <w:rFonts w:eastAsiaTheme="minorEastAsia"/>
          <w:sz w:val="22"/>
          <w:szCs w:val="22"/>
        </w:rPr>
      </w:pPr>
      <w:r w:rsidRPr="7EF1B1C7">
        <w:rPr>
          <w:rFonts w:eastAsiaTheme="minorEastAsia"/>
          <w:sz w:val="22"/>
          <w:szCs w:val="22"/>
        </w:rPr>
        <w:t>Supporting student pathways from enrollment through graduation and into the workforce.</w:t>
      </w:r>
    </w:p>
    <w:p w:rsidR="071A0612" w:rsidP="7EF1B1C7" w:rsidRDefault="071A0612" w14:paraId="5DD634BC" w14:textId="1AAF67F2">
      <w:pPr>
        <w:pStyle w:val="Heading2"/>
      </w:pPr>
      <w:r>
        <w:t>PACDI’s Support for Initiatives of Campus Community</w:t>
      </w:r>
    </w:p>
    <w:p w:rsidR="345AD67C" w:rsidP="7EF1B1C7" w:rsidRDefault="345AD67C" w14:paraId="35F9A133" w14:textId="6C0CBA95">
      <w:pPr>
        <w:pStyle w:val="Heading5"/>
        <w:rPr>
          <w:rFonts w:eastAsiaTheme="minorEastAsia" w:cstheme="minorBidi"/>
        </w:rPr>
      </w:pPr>
      <w:r w:rsidRPr="7EF1B1C7">
        <w:rPr>
          <w:rFonts w:eastAsiaTheme="minorEastAsia" w:cstheme="minorBidi"/>
        </w:rPr>
        <w:t xml:space="preserve">Reinstitute cross-unit Accessibility Review Committee for Physical Accessibility </w:t>
      </w:r>
      <w:r w:rsidRPr="7EF1B1C7" w:rsidR="52399A02">
        <w:rPr>
          <w:rFonts w:eastAsiaTheme="minorEastAsia" w:cstheme="minorBidi"/>
        </w:rPr>
        <w:t>Initiatives</w:t>
      </w:r>
      <w:r w:rsidRPr="7EF1B1C7">
        <w:rPr>
          <w:rFonts w:eastAsiaTheme="minorEastAsia" w:cstheme="minorBidi"/>
        </w:rPr>
        <w:t xml:space="preserve">: </w:t>
      </w:r>
    </w:p>
    <w:p w:rsidR="7471E40E" w:rsidP="7EF1B1C7" w:rsidRDefault="7471E40E" w14:paraId="204D5FDC" w14:textId="18C7DF1F">
      <w:pPr>
        <w:rPr>
          <w:rFonts w:eastAsiaTheme="minorEastAsia"/>
          <w:sz w:val="22"/>
          <w:szCs w:val="22"/>
        </w:rPr>
      </w:pPr>
      <w:r w:rsidRPr="7EF1B1C7">
        <w:rPr>
          <w:rFonts w:eastAsiaTheme="minorEastAsia"/>
          <w:sz w:val="22"/>
          <w:szCs w:val="22"/>
        </w:rPr>
        <w:t>PACDI supports reinstituting and expanding the previously effective cross unit working group including the Resource Center for Persons with Disabilities, the Office for Civil Rights and Title IX Education and Compliance’s Office of the ADA Coordinator, Institutional Space Planning and Management, Infrastructure and Planning and Facilities, Information Technology, Residential Hospitality Services, Athletics, and other key partners, to evaluate physical accommodation requests. This group will function as a coordinated review and planning body, testing centralized decision-making workflows, identifying cost patterns using newly established accessibility object code, and informing the long-term operational design of a university level accommodation fund.</w:t>
      </w:r>
    </w:p>
    <w:p w:rsidR="345AD67C" w:rsidP="7EF1B1C7" w:rsidRDefault="345AD67C" w14:paraId="21F763A0" w14:textId="01C7D480">
      <w:pPr>
        <w:numPr>
          <w:ilvl w:val="0"/>
          <w:numId w:val="9"/>
        </w:numPr>
        <w:rPr>
          <w:rFonts w:eastAsiaTheme="minorEastAsia"/>
          <w:sz w:val="22"/>
          <w:szCs w:val="22"/>
        </w:rPr>
      </w:pPr>
      <w:r w:rsidRPr="7EF1B1C7">
        <w:rPr>
          <w:rFonts w:eastAsiaTheme="minorEastAsia"/>
          <w:sz w:val="22"/>
          <w:szCs w:val="22"/>
        </w:rPr>
        <w:t>Institutional Space Planning and Management previously convened a central working group including RCPD, OCR/ADA office, Athletics, Residential and Hospitality Services, and others to jointly review accommodation-related requests. The group met throughout the academic year and coordinated planning for barrier removal and future accessibility needs. It stopped meeting during COVID and has not been reconvened. </w:t>
      </w:r>
    </w:p>
    <w:p w:rsidR="345AD67C" w:rsidP="7EF1B1C7" w:rsidRDefault="345AD67C" w14:paraId="7985353C" w14:textId="466DD28E">
      <w:pPr>
        <w:numPr>
          <w:ilvl w:val="0"/>
          <w:numId w:val="26"/>
        </w:numPr>
        <w:rPr>
          <w:rFonts w:eastAsiaTheme="minorEastAsia"/>
          <w:sz w:val="22"/>
          <w:szCs w:val="22"/>
        </w:rPr>
      </w:pPr>
      <w:r w:rsidRPr="7EF1B1C7">
        <w:rPr>
          <w:rFonts w:eastAsiaTheme="minorEastAsia"/>
          <w:sz w:val="22"/>
          <w:szCs w:val="22"/>
        </w:rPr>
        <w:t>This earlier model mirrors, on a small scale, the type of cross-functional body needed to implement a centralized funding model. A potential expansion of this working group could include coordinated oversight of physical accessibility, academic/environmental accommodations, visitor supports, and centralized cost payment mechanisms. </w:t>
      </w:r>
    </w:p>
    <w:p w:rsidR="345AD67C" w:rsidP="7EF1B1C7" w:rsidRDefault="345AD67C" w14:paraId="66CEAFEC" w14:textId="5B363E7E">
      <w:pPr>
        <w:numPr>
          <w:ilvl w:val="0"/>
          <w:numId w:val="32"/>
        </w:numPr>
        <w:rPr>
          <w:rFonts w:eastAsiaTheme="minorEastAsia"/>
          <w:sz w:val="22"/>
          <w:szCs w:val="22"/>
        </w:rPr>
      </w:pPr>
      <w:r w:rsidRPr="7EF1B1C7">
        <w:rPr>
          <w:rFonts w:eastAsiaTheme="minorEastAsia"/>
          <w:sz w:val="22"/>
          <w:szCs w:val="22"/>
        </w:rPr>
        <w:t>Reinstituting this working group creates a real-time testbed for evaluating requests under a centralized model before its potential inclusion in a more formal Budget Model Redesign. </w:t>
      </w:r>
    </w:p>
    <w:p w:rsidR="49935B07" w:rsidP="28C70CA9" w:rsidRDefault="49935B07" w14:paraId="5B385A72" w14:textId="28426258">
      <w:pPr>
        <w:pStyle w:val="Heading2"/>
      </w:pPr>
      <w:r>
        <w:t xml:space="preserve">Progress Toward Completion of </w:t>
      </w:r>
      <w:r w:rsidR="5E951487">
        <w:t xml:space="preserve">2024-25 </w:t>
      </w:r>
      <w:r>
        <w:t>Recommendations</w:t>
      </w:r>
    </w:p>
    <w:p w:rsidR="7F9933BC" w:rsidP="28C70CA9" w:rsidRDefault="7F9933BC" w14:paraId="00BF019D" w14:textId="2CCEFD38">
      <w:pPr>
        <w:pStyle w:val="Heading3"/>
      </w:pPr>
      <w:r>
        <w:t xml:space="preserve">Recommendation No. 1: </w:t>
      </w:r>
      <w:r w:rsidR="602754AD">
        <w:t>Convene a workgroup to examine the impact and feasibility of revising the University’s Modified Operations Policy to include a remote attendance option during extreme weather.</w:t>
      </w:r>
    </w:p>
    <w:p w:rsidR="2D4CDD51" w:rsidP="7EF1B1C7" w:rsidRDefault="2D4CDD51" w14:paraId="1FFA120B" w14:textId="787587AE">
      <w:pPr>
        <w:spacing w:after="0" w:line="300" w:lineRule="auto"/>
        <w:rPr>
          <w:rFonts w:eastAsiaTheme="minorEastAsia"/>
          <w:sz w:val="22"/>
          <w:szCs w:val="22"/>
        </w:rPr>
      </w:pPr>
      <w:r w:rsidRPr="7EF1B1C7">
        <w:rPr>
          <w:rFonts w:eastAsiaTheme="minorEastAsia"/>
          <w:sz w:val="22"/>
          <w:szCs w:val="22"/>
        </w:rPr>
        <w:t xml:space="preserve">PACDI, RCPD, HR, Emergency Management, and the Provost’s Office have begun coordinating to address inconsistent unit‑level decision‑making around flexible options during severe weather. While MSU’s all‑hazards policy already allows for remote participation, gaps in communication, culture, and supervisor empowerment continue to create barriers for students and employees with </w:t>
      </w:r>
      <w:r w:rsidRPr="7EF1B1C7">
        <w:rPr>
          <w:rFonts w:eastAsiaTheme="minorEastAsia"/>
          <w:sz w:val="22"/>
          <w:szCs w:val="22"/>
        </w:rPr>
        <w:t>disabilities. A formal cross‑unit workgroup is in discussion to develop clearer guidance and improve campuswide consistency in these practices.</w:t>
      </w:r>
    </w:p>
    <w:p w:rsidR="4544F8C6" w:rsidP="28C70CA9" w:rsidRDefault="4544F8C6" w14:paraId="53DC620A" w14:textId="3A826385">
      <w:pPr>
        <w:pStyle w:val="Heading3"/>
      </w:pPr>
      <w:r>
        <w:t xml:space="preserve">Recommendation No. 2: </w:t>
      </w:r>
      <w:r w:rsidR="2D4CDD51">
        <w:t>Examine the potential benefits and implications of implementing mandatory disability training for faculty and staff.</w:t>
      </w:r>
    </w:p>
    <w:p w:rsidR="063871D7" w:rsidP="34A2C28A" w:rsidRDefault="4BEF0449" w14:paraId="5D4F7105" w14:textId="70D0A54F">
      <w:pPr>
        <w:spacing w:after="0" w:line="300" w:lineRule="auto"/>
        <w:rPr>
          <w:rFonts w:eastAsiaTheme="minorEastAsia"/>
          <w:sz w:val="22"/>
          <w:szCs w:val="22"/>
        </w:rPr>
      </w:pPr>
      <w:r w:rsidRPr="7EF1B1C7">
        <w:rPr>
          <w:rFonts w:eastAsiaTheme="minorEastAsia"/>
          <w:sz w:val="22"/>
          <w:szCs w:val="22"/>
        </w:rPr>
        <w:t xml:space="preserve">A required Disability and Accessibility Policies Training was developed collaboratively by Office for Civil Rights and Title IX Education and Compliance Office of the ADA Coordinator, MSU IT Educational Technology, Resource </w:t>
      </w:r>
      <w:r w:rsidRPr="7EF1B1C7" w:rsidR="7697AB6D">
        <w:rPr>
          <w:rFonts w:eastAsiaTheme="minorEastAsia"/>
          <w:sz w:val="22"/>
          <w:szCs w:val="22"/>
        </w:rPr>
        <w:t>Center for Persons with Disabilities,</w:t>
      </w:r>
      <w:r w:rsidRPr="7EF1B1C7">
        <w:rPr>
          <w:rFonts w:eastAsiaTheme="minorEastAsia"/>
          <w:sz w:val="22"/>
          <w:szCs w:val="22"/>
        </w:rPr>
        <w:t xml:space="preserve"> Employee and Labor Relations, the Enterprise Project Management Office, the Office for Inclusive Excellence and Impact, the Office for Faculty and Academic Staff Affairs, and the Office of Research Regulatory Support. The training provides guidance on requesting and implementing student and employee accommodations and includes essential digital accessibility information. Launched in Fall 2025, it achieved a completion rate of over 9</w:t>
      </w:r>
      <w:r w:rsidRPr="7EF1B1C7" w:rsidR="7CC6C513">
        <w:rPr>
          <w:rFonts w:eastAsiaTheme="minorEastAsia"/>
          <w:sz w:val="22"/>
          <w:szCs w:val="22"/>
        </w:rPr>
        <w:t>6</w:t>
      </w:r>
      <w:r w:rsidRPr="7EF1B1C7">
        <w:rPr>
          <w:rFonts w:eastAsiaTheme="minorEastAsia"/>
          <w:sz w:val="22"/>
          <w:szCs w:val="22"/>
        </w:rPr>
        <w:t>% by March 2026.</w:t>
      </w:r>
    </w:p>
    <w:p w:rsidR="3C35AC01" w:rsidP="28C70CA9" w:rsidRDefault="3C35AC01" w14:paraId="6F00C2D4" w14:textId="20789750">
      <w:pPr>
        <w:pStyle w:val="Heading3"/>
      </w:pPr>
      <w:r>
        <w:t>Recommendation No. 3: Examine the potential opportunities and challenges associated with transitioning the Adaptive Sports and Recreation Club into a formal University program.</w:t>
      </w:r>
    </w:p>
    <w:p w:rsidR="6D6BEFFC" w:rsidP="7EF1B1C7" w:rsidRDefault="6D6BEFFC" w14:paraId="4A3148A5" w14:textId="40CFFD52">
      <w:pPr>
        <w:spacing w:before="210" w:after="210" w:line="300" w:lineRule="auto"/>
        <w:rPr>
          <w:rFonts w:eastAsiaTheme="minorEastAsia"/>
          <w:sz w:val="22"/>
          <w:szCs w:val="22"/>
        </w:rPr>
      </w:pPr>
      <w:r w:rsidRPr="7EF1B1C7">
        <w:rPr>
          <w:rFonts w:eastAsiaTheme="minorEastAsia"/>
          <w:sz w:val="22"/>
          <w:szCs w:val="22"/>
        </w:rPr>
        <w:t xml:space="preserve">PACDI continued work this year on Recommendation No. 3, which asks the university to examine opportunities and challenges associated with transitioning the Adaptive Sports &amp; Recreation Club into a more formal university‑supported program. Auxiliary Sports and Recreational Sports both expressed interest in exploring a more structured partnership that could provide greater stability, improved access to adaptive equipment, and clearer alignment with university operations. A meeting with Adaptive Sports leadership (including Piotr Pasek) </w:t>
      </w:r>
      <w:proofErr w:type="gramStart"/>
      <w:r w:rsidRPr="7EF1B1C7">
        <w:rPr>
          <w:rFonts w:eastAsiaTheme="minorEastAsia"/>
          <w:sz w:val="22"/>
          <w:szCs w:val="22"/>
        </w:rPr>
        <w:t>is planned</w:t>
      </w:r>
      <w:proofErr w:type="gramEnd"/>
      <w:r w:rsidRPr="7EF1B1C7">
        <w:rPr>
          <w:rFonts w:eastAsiaTheme="minorEastAsia"/>
          <w:sz w:val="22"/>
          <w:szCs w:val="22"/>
        </w:rPr>
        <w:t xml:space="preserve"> to outline what a transition into Auxiliary Sports could look like and to identify next steps for potential program development.</w:t>
      </w:r>
    </w:p>
    <w:p w:rsidR="2BD60C25" w:rsidP="28C70CA9" w:rsidRDefault="2BD60C25" w14:paraId="7A51DDBB" w14:textId="413AEEDA">
      <w:pPr>
        <w:pStyle w:val="Heading2"/>
      </w:pPr>
      <w:r>
        <w:t>Conclusion</w:t>
      </w:r>
    </w:p>
    <w:p w:rsidR="4790B8F3" w:rsidP="34A2C28A" w:rsidRDefault="0C11B6CF" w14:paraId="54700E64" w14:textId="302A485F">
      <w:pPr>
        <w:spacing w:after="0" w:line="300" w:lineRule="auto"/>
        <w:rPr>
          <w:rFonts w:eastAsiaTheme="minorEastAsia"/>
          <w:sz w:val="22"/>
          <w:szCs w:val="22"/>
        </w:rPr>
      </w:pPr>
      <w:r w:rsidRPr="7EF1B1C7">
        <w:rPr>
          <w:rFonts w:eastAsiaTheme="minorEastAsia"/>
          <w:sz w:val="22"/>
          <w:szCs w:val="22"/>
        </w:rPr>
        <w:t>The recommendations presented by PACDI address long‑standing structural needs and position MSU to meet expectations in accessibility, disability inclusion, and neurodiversity leadership. By implementing a centralized funding model, creating a unified disability</w:t>
      </w:r>
      <w:r w:rsidRPr="7EF1B1C7" w:rsidR="4BCB558E">
        <w:rPr>
          <w:rFonts w:eastAsiaTheme="minorEastAsia"/>
          <w:sz w:val="22"/>
          <w:szCs w:val="22"/>
        </w:rPr>
        <w:t xml:space="preserve"> and accessibility</w:t>
      </w:r>
      <w:r w:rsidRPr="7EF1B1C7">
        <w:rPr>
          <w:rFonts w:eastAsiaTheme="minorEastAsia"/>
          <w:sz w:val="22"/>
          <w:szCs w:val="22"/>
        </w:rPr>
        <w:t xml:space="preserve"> information website, and establishing coordinated leadership for neurodivergent student support, MSU will strengthen institutional efficiency, reduce inequities, and improve outcomes for students, employees, and visitors. These steps directly advance the MSU 2030 Strategic Plan and reinforce the university’s commitment to accessibility, belonging, and excellence. PACDI urges the administration to prioritize these initiatives as foundational investments in a more inclusive and future‑focused Michigan State University.</w:t>
      </w:r>
    </w:p>
    <w:p w:rsidR="28C70CA9" w:rsidP="28C70CA9" w:rsidRDefault="28C70CA9" w14:paraId="748A9F0E" w14:textId="400362FC">
      <w:r>
        <w:br w:type="page"/>
      </w:r>
    </w:p>
    <w:p w:rsidRPr="000923CD" w:rsidR="28C70CA9" w:rsidP="7EF1B1C7" w:rsidRDefault="65DC5989" w14:paraId="7A4AE50A" w14:textId="67922338">
      <w:pPr>
        <w:pStyle w:val="Heading2"/>
        <w:rPr>
          <w:rFonts w:asciiTheme="minorHAnsi" w:hAnsiTheme="minorHAnsi"/>
        </w:rPr>
      </w:pPr>
      <w:r w:rsidRPr="000923CD">
        <w:rPr>
          <w:rFonts w:asciiTheme="minorHAnsi" w:hAnsiTheme="minorHAnsi"/>
        </w:rPr>
        <w:t>Addendum A: University of Wisconsin Proposal to Centrally Fund All Disability Accommodations</w:t>
      </w:r>
    </w:p>
    <w:p w:rsidRPr="000923CD" w:rsidR="28C70CA9" w:rsidP="7EF1B1C7" w:rsidRDefault="65DC5989" w14:paraId="2710BFAF" w14:textId="37CD877C">
      <w:pPr>
        <w:pStyle w:val="Heading1"/>
        <w:spacing w:before="200" w:after="120"/>
        <w:rPr>
          <w:rFonts w:asciiTheme="minorHAnsi" w:hAnsiTheme="minorHAnsi"/>
          <w:sz w:val="32"/>
          <w:szCs w:val="32"/>
        </w:rPr>
      </w:pPr>
      <w:r w:rsidRPr="000923CD">
        <w:rPr>
          <w:rFonts w:asciiTheme="minorHAnsi" w:hAnsiTheme="minorHAnsi"/>
          <w:sz w:val="32"/>
          <w:szCs w:val="32"/>
          <w:lang w:val="en"/>
        </w:rPr>
        <w:t>Introduction and Purpose</w:t>
      </w:r>
    </w:p>
    <w:p w:rsidRPr="000923CD" w:rsidR="28C70CA9" w:rsidP="7EF1B1C7" w:rsidRDefault="65DC5989" w14:paraId="0B2777A4" w14:textId="69584050">
      <w:pPr>
        <w:rPr>
          <w:rFonts w:eastAsia="Arial" w:cs="Arial"/>
          <w:sz w:val="22"/>
          <w:szCs w:val="22"/>
        </w:rPr>
      </w:pPr>
      <w:r w:rsidRPr="000923CD">
        <w:rPr>
          <w:rFonts w:eastAsia="Arial" w:cs="Arial"/>
          <w:sz w:val="22"/>
          <w:szCs w:val="22"/>
          <w:lang w:val="en"/>
        </w:rPr>
        <w:t>The ADA Steering Committee</w:t>
      </w:r>
      <w:r w:rsidRPr="000923CD">
        <w:rPr>
          <w:rFonts w:eastAsia="Arial" w:cs="Arial"/>
          <w:sz w:val="22"/>
          <w:szCs w:val="22"/>
          <w:vertAlign w:val="superscript"/>
          <w:lang w:val="en"/>
        </w:rPr>
        <w:t>1</w:t>
      </w:r>
      <w:r w:rsidRPr="000923CD">
        <w:rPr>
          <w:rFonts w:eastAsia="Arial" w:cs="Arial"/>
          <w:sz w:val="22"/>
          <w:szCs w:val="22"/>
          <w:lang w:val="en"/>
        </w:rPr>
        <w:t xml:space="preserve"> proposes the university transition to a single central funding model for disability accommodations for all individuals - students, employees, program participants, and visitors.</w:t>
      </w:r>
      <w:r w:rsidRPr="000923CD">
        <w:rPr>
          <w:rFonts w:eastAsia="Arial" w:cs="Arial"/>
          <w:sz w:val="22"/>
          <w:szCs w:val="22"/>
          <w:vertAlign w:val="superscript"/>
          <w:lang w:val="en"/>
        </w:rPr>
        <w:t>2</w:t>
      </w:r>
      <w:r w:rsidRPr="000923CD">
        <w:rPr>
          <w:rFonts w:eastAsia="Arial" w:cs="Arial"/>
          <w:sz w:val="22"/>
          <w:szCs w:val="22"/>
          <w:lang w:val="en"/>
        </w:rPr>
        <w:t xml:space="preserve"> This request is not for additional funds for accommodations, but a request for the cost of accommodations to be covered at the central campus level. </w:t>
      </w:r>
    </w:p>
    <w:p w:rsidRPr="000923CD" w:rsidR="28C70CA9" w:rsidP="7EF1B1C7" w:rsidRDefault="65DC5989" w14:paraId="2B694C5D" w14:textId="45089F57">
      <w:pPr>
        <w:pStyle w:val="Heading2"/>
        <w:spacing w:before="360" w:after="120"/>
        <w:rPr>
          <w:rFonts w:asciiTheme="minorHAnsi" w:hAnsiTheme="minorHAnsi"/>
          <w:sz w:val="28"/>
          <w:szCs w:val="28"/>
        </w:rPr>
      </w:pPr>
      <w:r w:rsidRPr="000923CD">
        <w:rPr>
          <w:rFonts w:asciiTheme="minorHAnsi" w:hAnsiTheme="minorHAnsi"/>
          <w:sz w:val="28"/>
          <w:szCs w:val="28"/>
          <w:lang w:val="en"/>
        </w:rPr>
        <w:t>Current Funding Model</w:t>
      </w:r>
    </w:p>
    <w:p w:rsidRPr="000923CD" w:rsidR="28C70CA9" w:rsidP="7EF1B1C7" w:rsidRDefault="65DC5989" w14:paraId="7212D27D" w14:textId="718A6975">
      <w:pPr>
        <w:rPr>
          <w:rFonts w:eastAsia="Arial" w:cs="Arial"/>
          <w:sz w:val="22"/>
          <w:szCs w:val="22"/>
        </w:rPr>
      </w:pPr>
      <w:r w:rsidRPr="000923CD">
        <w:rPr>
          <w:rFonts w:eastAsia="Arial" w:cs="Arial"/>
          <w:sz w:val="22"/>
          <w:szCs w:val="22"/>
        </w:rPr>
        <w:t xml:space="preserve">The university operates multiple, concurrent models:  </w:t>
      </w:r>
    </w:p>
    <w:p w:rsidRPr="00CF7CAB" w:rsidR="28C70CA9" w:rsidP="00CF7CAB" w:rsidRDefault="65DC5989" w14:paraId="71E0412E" w14:textId="6F11779F">
      <w:pPr>
        <w:pStyle w:val="ListParagraph"/>
        <w:numPr>
          <w:ilvl w:val="0"/>
          <w:numId w:val="64"/>
        </w:numPr>
        <w:rPr>
          <w:rFonts w:eastAsia="Arial" w:cs="Arial"/>
          <w:sz w:val="22"/>
          <w:szCs w:val="22"/>
        </w:rPr>
      </w:pPr>
      <w:r w:rsidRPr="00CF7CAB">
        <w:rPr>
          <w:rFonts w:eastAsia="Arial" w:cs="Arial"/>
          <w:sz w:val="22"/>
          <w:szCs w:val="22"/>
          <w:lang w:val="en"/>
        </w:rPr>
        <w:t xml:space="preserve">Students: </w:t>
      </w:r>
    </w:p>
    <w:p w:rsidRPr="00CF7CAB" w:rsidR="28C70CA9" w:rsidP="00CF7CAB" w:rsidRDefault="65DC5989" w14:paraId="37DB0461" w14:textId="410C6C73">
      <w:pPr>
        <w:pStyle w:val="ListParagraph"/>
        <w:numPr>
          <w:ilvl w:val="1"/>
          <w:numId w:val="64"/>
        </w:numPr>
        <w:rPr>
          <w:rFonts w:eastAsia="Arial" w:cs="Arial"/>
          <w:sz w:val="22"/>
          <w:szCs w:val="22"/>
        </w:rPr>
      </w:pPr>
      <w:r w:rsidRPr="00CF7CAB">
        <w:rPr>
          <w:rFonts w:eastAsia="Arial" w:cs="Arial"/>
          <w:sz w:val="22"/>
          <w:szCs w:val="22"/>
        </w:rPr>
        <w:t xml:space="preserve">The McBurney Disability Resource Center </w:t>
      </w:r>
      <w:proofErr w:type="gramStart"/>
      <w:r w:rsidRPr="00CF7CAB">
        <w:rPr>
          <w:rFonts w:eastAsia="Arial" w:cs="Arial"/>
          <w:sz w:val="22"/>
          <w:szCs w:val="22"/>
        </w:rPr>
        <w:t>largely covers</w:t>
      </w:r>
      <w:proofErr w:type="gramEnd"/>
      <w:r w:rsidRPr="00CF7CAB">
        <w:rPr>
          <w:rFonts w:eastAsia="Arial" w:cs="Arial"/>
          <w:sz w:val="22"/>
          <w:szCs w:val="22"/>
        </w:rPr>
        <w:t xml:space="preserve"> the cost of accommodations for </w:t>
      </w:r>
      <w:proofErr w:type="gramStart"/>
      <w:r w:rsidRPr="00CF7CAB">
        <w:rPr>
          <w:rFonts w:eastAsia="Arial" w:cs="Arial"/>
          <w:sz w:val="22"/>
          <w:szCs w:val="22"/>
        </w:rPr>
        <w:t>students, since</w:t>
      </w:r>
      <w:proofErr w:type="gramEnd"/>
      <w:r w:rsidRPr="00CF7CAB">
        <w:rPr>
          <w:rFonts w:eastAsia="Arial" w:cs="Arial"/>
          <w:sz w:val="22"/>
          <w:szCs w:val="22"/>
        </w:rPr>
        <w:t xml:space="preserve"> they typically do not have a home unit or department. In most instances, Facilities Planning and Management (FP&amp;M) covers the cost of physical barrier removal. </w:t>
      </w:r>
    </w:p>
    <w:p w:rsidRPr="00CF7CAB" w:rsidR="28C70CA9" w:rsidP="00CF7CAB" w:rsidRDefault="65DC5989" w14:paraId="4729C3B6" w14:textId="75742467">
      <w:pPr>
        <w:pStyle w:val="ListParagraph"/>
        <w:numPr>
          <w:ilvl w:val="0"/>
          <w:numId w:val="64"/>
        </w:numPr>
        <w:rPr>
          <w:rFonts w:eastAsia="Arial" w:cs="Arial"/>
          <w:sz w:val="22"/>
          <w:szCs w:val="22"/>
        </w:rPr>
      </w:pPr>
      <w:r w:rsidRPr="00CF7CAB">
        <w:rPr>
          <w:rFonts w:eastAsia="Arial" w:cs="Arial"/>
          <w:sz w:val="22"/>
          <w:szCs w:val="22"/>
          <w:lang w:val="en"/>
        </w:rPr>
        <w:t xml:space="preserve">Employees and student-employees: </w:t>
      </w:r>
    </w:p>
    <w:p w:rsidRPr="00CF7CAB" w:rsidR="28C70CA9" w:rsidP="00CF7CAB" w:rsidRDefault="65DC5989" w14:paraId="49FC1813" w14:textId="6C2B413F">
      <w:pPr>
        <w:pStyle w:val="ListParagraph"/>
        <w:numPr>
          <w:ilvl w:val="1"/>
          <w:numId w:val="64"/>
        </w:numPr>
        <w:rPr>
          <w:rFonts w:eastAsia="Arial" w:cs="Arial"/>
          <w:sz w:val="22"/>
          <w:szCs w:val="22"/>
        </w:rPr>
      </w:pPr>
      <w:proofErr w:type="gramStart"/>
      <w:r w:rsidRPr="00CF7CAB">
        <w:rPr>
          <w:rFonts w:eastAsia="Arial" w:cs="Arial"/>
          <w:sz w:val="22"/>
          <w:szCs w:val="22"/>
        </w:rPr>
        <w:t>Accommodations</w:t>
      </w:r>
      <w:proofErr w:type="gramEnd"/>
      <w:r w:rsidRPr="00CF7CAB">
        <w:rPr>
          <w:rFonts w:eastAsia="Arial" w:cs="Arial"/>
          <w:sz w:val="22"/>
          <w:szCs w:val="22"/>
        </w:rPr>
        <w:t xml:space="preserve">, except for sign language interpreting, captioning, and media captioning, </w:t>
      </w:r>
      <w:proofErr w:type="gramStart"/>
      <w:r w:rsidRPr="00CF7CAB">
        <w:rPr>
          <w:rFonts w:eastAsia="Arial" w:cs="Arial"/>
          <w:sz w:val="22"/>
          <w:szCs w:val="22"/>
        </w:rPr>
        <w:t>are covered</w:t>
      </w:r>
      <w:proofErr w:type="gramEnd"/>
      <w:r w:rsidRPr="00CF7CAB">
        <w:rPr>
          <w:rFonts w:eastAsia="Arial" w:cs="Arial"/>
          <w:sz w:val="22"/>
          <w:szCs w:val="22"/>
        </w:rPr>
        <w:t xml:space="preserve"> at the employing unit level. In most cases, FP&amp;M covers the cost of physical barrier removal</w:t>
      </w:r>
      <w:proofErr w:type="gramStart"/>
      <w:r w:rsidRPr="00CF7CAB">
        <w:rPr>
          <w:rFonts w:eastAsia="Arial" w:cs="Arial"/>
          <w:sz w:val="22"/>
          <w:szCs w:val="22"/>
        </w:rPr>
        <w:t xml:space="preserve">.  </w:t>
      </w:r>
      <w:proofErr w:type="gramEnd"/>
      <w:r w:rsidRPr="00CF7CAB">
        <w:rPr>
          <w:rFonts w:eastAsia="Arial" w:cs="Arial"/>
          <w:sz w:val="22"/>
          <w:szCs w:val="22"/>
        </w:rPr>
        <w:t xml:space="preserve"> </w:t>
      </w:r>
    </w:p>
    <w:p w:rsidRPr="00CF7CAB" w:rsidR="28C70CA9" w:rsidP="00CF7CAB" w:rsidRDefault="65DC5989" w14:paraId="029C57B8" w14:textId="69ED3B18">
      <w:pPr>
        <w:pStyle w:val="ListParagraph"/>
        <w:numPr>
          <w:ilvl w:val="0"/>
          <w:numId w:val="64"/>
        </w:numPr>
        <w:rPr>
          <w:rFonts w:eastAsia="Arial" w:cs="Arial"/>
          <w:sz w:val="22"/>
          <w:szCs w:val="22"/>
        </w:rPr>
      </w:pPr>
      <w:r w:rsidRPr="00CF7CAB">
        <w:rPr>
          <w:rFonts w:eastAsia="Arial" w:cs="Arial"/>
          <w:sz w:val="22"/>
          <w:szCs w:val="22"/>
          <w:lang w:val="en"/>
        </w:rPr>
        <w:t xml:space="preserve">Program participants and visitors: </w:t>
      </w:r>
    </w:p>
    <w:p w:rsidRPr="00CF7CAB" w:rsidR="28C70CA9" w:rsidP="00CF7CAB" w:rsidRDefault="65DC5989" w14:paraId="265CFF31" w14:textId="64D973CC">
      <w:pPr>
        <w:pStyle w:val="ListParagraph"/>
        <w:numPr>
          <w:ilvl w:val="1"/>
          <w:numId w:val="64"/>
        </w:numPr>
        <w:rPr>
          <w:rFonts w:eastAsia="Arial" w:cs="Arial"/>
          <w:sz w:val="22"/>
          <w:szCs w:val="22"/>
        </w:rPr>
      </w:pPr>
      <w:proofErr w:type="gramStart"/>
      <w:r w:rsidRPr="00CF7CAB">
        <w:rPr>
          <w:rFonts w:eastAsia="Arial" w:cs="Arial"/>
          <w:sz w:val="22"/>
          <w:szCs w:val="22"/>
        </w:rPr>
        <w:t>Accommodations</w:t>
      </w:r>
      <w:proofErr w:type="gramEnd"/>
      <w:r w:rsidRPr="00CF7CAB">
        <w:rPr>
          <w:rFonts w:eastAsia="Arial" w:cs="Arial"/>
          <w:sz w:val="22"/>
          <w:szCs w:val="22"/>
        </w:rPr>
        <w:t xml:space="preserve">, except for sign language interpreting, captioning, and media captioning, </w:t>
      </w:r>
      <w:proofErr w:type="gramStart"/>
      <w:r w:rsidRPr="00CF7CAB">
        <w:rPr>
          <w:rFonts w:eastAsia="Arial" w:cs="Arial"/>
          <w:sz w:val="22"/>
          <w:szCs w:val="22"/>
        </w:rPr>
        <w:t>are funded</w:t>
      </w:r>
      <w:proofErr w:type="gramEnd"/>
      <w:r w:rsidRPr="00CF7CAB">
        <w:rPr>
          <w:rFonts w:eastAsia="Arial" w:cs="Arial"/>
          <w:sz w:val="22"/>
          <w:szCs w:val="22"/>
        </w:rPr>
        <w:t xml:space="preserve"> by the unit hosting the event with support from the school, college, division, or administrative unit as needed. In most instances, FP&amp;M covers the cost of physical barrier removal</w:t>
      </w:r>
      <w:proofErr w:type="gramStart"/>
      <w:r w:rsidRPr="00CF7CAB">
        <w:rPr>
          <w:rFonts w:eastAsia="Arial" w:cs="Arial"/>
          <w:sz w:val="22"/>
          <w:szCs w:val="22"/>
        </w:rPr>
        <w:t xml:space="preserve">.  </w:t>
      </w:r>
      <w:proofErr w:type="gramEnd"/>
    </w:p>
    <w:p w:rsidRPr="000923CD" w:rsidR="28C70CA9" w:rsidP="7EF1B1C7" w:rsidRDefault="65DC5989" w14:paraId="08DB888B" w14:textId="226B6796">
      <w:pPr>
        <w:pStyle w:val="Heading2"/>
        <w:spacing w:before="360" w:after="120"/>
        <w:rPr>
          <w:rFonts w:asciiTheme="minorHAnsi" w:hAnsiTheme="minorHAnsi"/>
          <w:sz w:val="28"/>
          <w:szCs w:val="28"/>
        </w:rPr>
      </w:pPr>
      <w:r w:rsidRPr="000923CD">
        <w:rPr>
          <w:rFonts w:asciiTheme="minorHAnsi" w:hAnsiTheme="minorHAnsi"/>
          <w:sz w:val="28"/>
          <w:szCs w:val="28"/>
          <w:lang w:val="en"/>
        </w:rPr>
        <w:t>Rationale for Central Funding Model</w:t>
      </w:r>
    </w:p>
    <w:p w:rsidRPr="000923CD" w:rsidR="28C70CA9" w:rsidP="7EF1B1C7" w:rsidRDefault="65DC5989" w14:paraId="17264035" w14:textId="023680DA">
      <w:pPr>
        <w:rPr>
          <w:rFonts w:eastAsiaTheme="minorEastAsia"/>
          <w:sz w:val="22"/>
          <w:szCs w:val="22"/>
        </w:rPr>
      </w:pPr>
      <w:r w:rsidRPr="000923CD">
        <w:rPr>
          <w:rFonts w:eastAsiaTheme="minorEastAsia"/>
          <w:sz w:val="22"/>
          <w:szCs w:val="22"/>
        </w:rPr>
        <w:t xml:space="preserve">The ADA Steering Committee completed a detailed analysis of why the university benefits from switching to a central funding model for all accommodations for all individuals. The following themes emerged from this analysis:  </w:t>
      </w:r>
    </w:p>
    <w:p w:rsidRPr="000923CD" w:rsidR="28C70CA9" w:rsidP="7EF1B1C7" w:rsidRDefault="65DC5989" w14:paraId="6D83C78E" w14:textId="352D386F">
      <w:pPr>
        <w:pStyle w:val="ListParagraph"/>
        <w:numPr>
          <w:ilvl w:val="0"/>
          <w:numId w:val="5"/>
        </w:numPr>
        <w:rPr>
          <w:rFonts w:eastAsiaTheme="minorEastAsia"/>
          <w:sz w:val="22"/>
          <w:szCs w:val="22"/>
        </w:rPr>
      </w:pPr>
      <w:r w:rsidRPr="000923CD">
        <w:rPr>
          <w:rFonts w:eastAsiaTheme="minorEastAsia"/>
          <w:sz w:val="22"/>
          <w:szCs w:val="22"/>
        </w:rPr>
        <w:t xml:space="preserve">Increased value on access, </w:t>
      </w:r>
      <w:proofErr w:type="gramStart"/>
      <w:r w:rsidRPr="000923CD">
        <w:rPr>
          <w:rFonts w:eastAsiaTheme="minorEastAsia"/>
          <w:sz w:val="22"/>
          <w:szCs w:val="22"/>
        </w:rPr>
        <w:t>diversity</w:t>
      </w:r>
      <w:proofErr w:type="gramEnd"/>
      <w:r w:rsidRPr="000923CD">
        <w:rPr>
          <w:rFonts w:eastAsiaTheme="minorEastAsia"/>
          <w:sz w:val="22"/>
          <w:szCs w:val="22"/>
        </w:rPr>
        <w:t xml:space="preserve"> and inclusion</w:t>
      </w:r>
    </w:p>
    <w:p w:rsidRPr="000923CD" w:rsidR="28C70CA9" w:rsidP="000923CD" w:rsidRDefault="65DC5989" w14:paraId="4A4C74EB" w14:textId="11D84C51">
      <w:pPr>
        <w:pStyle w:val="ListParagraph"/>
        <w:numPr>
          <w:ilvl w:val="0"/>
          <w:numId w:val="63"/>
        </w:numPr>
        <w:rPr>
          <w:rFonts w:eastAsiaTheme="minorEastAsia"/>
          <w:sz w:val="22"/>
          <w:szCs w:val="22"/>
        </w:rPr>
      </w:pPr>
      <w:r w:rsidRPr="000923CD">
        <w:rPr>
          <w:rFonts w:eastAsiaTheme="minorEastAsia"/>
          <w:sz w:val="22"/>
          <w:szCs w:val="22"/>
        </w:rPr>
        <w:t>Central funding allows units to engage in hiring practices that are free from bias or worry about accommodation costs to their local budget</w:t>
      </w:r>
      <w:proofErr w:type="gramStart"/>
      <w:r w:rsidRPr="000923CD">
        <w:rPr>
          <w:rFonts w:eastAsiaTheme="minorEastAsia"/>
          <w:sz w:val="22"/>
          <w:szCs w:val="22"/>
        </w:rPr>
        <w:t xml:space="preserve">.  </w:t>
      </w:r>
      <w:proofErr w:type="gramEnd"/>
      <w:r w:rsidRPr="000923CD">
        <w:rPr>
          <w:rFonts w:eastAsiaTheme="minorEastAsia"/>
          <w:sz w:val="22"/>
          <w:szCs w:val="22"/>
        </w:rPr>
        <w:t xml:space="preserve"> </w:t>
      </w:r>
    </w:p>
    <w:p w:rsidRPr="000923CD" w:rsidR="28C70CA9" w:rsidP="000923CD" w:rsidRDefault="65DC5989" w14:paraId="24A06304" w14:textId="3F566ED0">
      <w:pPr>
        <w:pStyle w:val="ListParagraph"/>
        <w:numPr>
          <w:ilvl w:val="0"/>
          <w:numId w:val="63"/>
        </w:numPr>
        <w:rPr>
          <w:rFonts w:eastAsiaTheme="minorEastAsia"/>
          <w:sz w:val="22"/>
          <w:szCs w:val="22"/>
        </w:rPr>
      </w:pPr>
      <w:r w:rsidRPr="000923CD">
        <w:rPr>
          <w:rFonts w:eastAsiaTheme="minorEastAsia"/>
          <w:sz w:val="22"/>
          <w:szCs w:val="22"/>
        </w:rPr>
        <w:t xml:space="preserve">Central funding enables units to actively recruit and hire individuals with disabilities without worry over impact </w:t>
      </w:r>
      <w:proofErr w:type="gramStart"/>
      <w:r w:rsidRPr="000923CD">
        <w:rPr>
          <w:rFonts w:eastAsiaTheme="minorEastAsia"/>
          <w:sz w:val="22"/>
          <w:szCs w:val="22"/>
        </w:rPr>
        <w:t>to</w:t>
      </w:r>
      <w:proofErr w:type="gramEnd"/>
      <w:r w:rsidRPr="000923CD">
        <w:rPr>
          <w:rFonts w:eastAsiaTheme="minorEastAsia"/>
          <w:sz w:val="22"/>
          <w:szCs w:val="22"/>
        </w:rPr>
        <w:t xml:space="preserve"> their local budget. </w:t>
      </w:r>
    </w:p>
    <w:p w:rsidRPr="000923CD" w:rsidR="28C70CA9" w:rsidP="000923CD" w:rsidRDefault="65DC5989" w14:paraId="2DD0F969" w14:textId="1891BCDA">
      <w:pPr>
        <w:pStyle w:val="ListParagraph"/>
        <w:numPr>
          <w:ilvl w:val="0"/>
          <w:numId w:val="63"/>
        </w:numPr>
        <w:rPr>
          <w:rFonts w:eastAsiaTheme="minorEastAsia"/>
          <w:sz w:val="22"/>
          <w:szCs w:val="22"/>
        </w:rPr>
      </w:pPr>
      <w:r w:rsidRPr="000923CD">
        <w:rPr>
          <w:rFonts w:eastAsiaTheme="minorEastAsia"/>
          <w:sz w:val="22"/>
          <w:szCs w:val="22"/>
        </w:rPr>
        <w:t xml:space="preserve">Central funding reduces worry for employees wanting to request a reasonable accommodation but refrain due to </w:t>
      </w:r>
      <w:proofErr w:type="gramStart"/>
      <w:r w:rsidRPr="000923CD">
        <w:rPr>
          <w:rFonts w:eastAsiaTheme="minorEastAsia"/>
          <w:sz w:val="22"/>
          <w:szCs w:val="22"/>
        </w:rPr>
        <w:t>being deemed</w:t>
      </w:r>
      <w:proofErr w:type="gramEnd"/>
      <w:r w:rsidRPr="000923CD">
        <w:rPr>
          <w:rFonts w:eastAsiaTheme="minorEastAsia"/>
          <w:sz w:val="22"/>
          <w:szCs w:val="22"/>
        </w:rPr>
        <w:t xml:space="preserve"> by their department as being </w:t>
      </w:r>
      <w:r w:rsidRPr="000923CD">
        <w:rPr>
          <w:rFonts w:eastAsiaTheme="minorEastAsia"/>
          <w:sz w:val="22"/>
          <w:szCs w:val="22"/>
        </w:rPr>
        <w:t xml:space="preserve">“problematic” or “too expensive” to their unit. </w:t>
      </w:r>
      <w:proofErr w:type="gramStart"/>
      <w:r w:rsidRPr="000923CD">
        <w:rPr>
          <w:rFonts w:eastAsiaTheme="minorEastAsia"/>
          <w:sz w:val="22"/>
          <w:szCs w:val="22"/>
        </w:rPr>
        <w:t>Some</w:t>
      </w:r>
      <w:proofErr w:type="gramEnd"/>
      <w:r w:rsidRPr="000923CD">
        <w:rPr>
          <w:rFonts w:eastAsiaTheme="minorEastAsia"/>
          <w:sz w:val="22"/>
          <w:szCs w:val="22"/>
        </w:rPr>
        <w:t xml:space="preserve"> tenure-track faculty have </w:t>
      </w:r>
      <w:proofErr w:type="gramStart"/>
      <w:r w:rsidRPr="000923CD">
        <w:rPr>
          <w:rFonts w:eastAsiaTheme="minorEastAsia"/>
          <w:sz w:val="22"/>
          <w:szCs w:val="22"/>
        </w:rPr>
        <w:t>expressed</w:t>
      </w:r>
      <w:proofErr w:type="gramEnd"/>
      <w:r w:rsidRPr="000923CD">
        <w:rPr>
          <w:rFonts w:eastAsiaTheme="minorEastAsia"/>
          <w:sz w:val="22"/>
          <w:szCs w:val="22"/>
        </w:rPr>
        <w:t xml:space="preserve"> they did not request </w:t>
      </w:r>
      <w:proofErr w:type="gramStart"/>
      <w:r w:rsidRPr="000923CD">
        <w:rPr>
          <w:rFonts w:eastAsiaTheme="minorEastAsia"/>
          <w:sz w:val="22"/>
          <w:szCs w:val="22"/>
        </w:rPr>
        <w:t>accommodations</w:t>
      </w:r>
      <w:proofErr w:type="gramEnd"/>
      <w:r w:rsidRPr="000923CD">
        <w:rPr>
          <w:rFonts w:eastAsiaTheme="minorEastAsia"/>
          <w:sz w:val="22"/>
          <w:szCs w:val="22"/>
        </w:rPr>
        <w:t xml:space="preserve"> out of fear of impact to their tenure progress</w:t>
      </w:r>
      <w:proofErr w:type="gramStart"/>
      <w:r w:rsidRPr="000923CD">
        <w:rPr>
          <w:rFonts w:eastAsiaTheme="minorEastAsia"/>
          <w:sz w:val="22"/>
          <w:szCs w:val="22"/>
        </w:rPr>
        <w:t xml:space="preserve">.  </w:t>
      </w:r>
      <w:proofErr w:type="gramEnd"/>
      <w:r w:rsidRPr="000923CD">
        <w:rPr>
          <w:rFonts w:eastAsiaTheme="minorEastAsia"/>
          <w:sz w:val="22"/>
          <w:szCs w:val="22"/>
        </w:rPr>
        <w:t xml:space="preserve"> </w:t>
      </w:r>
    </w:p>
    <w:p w:rsidRPr="000923CD" w:rsidR="28C70CA9" w:rsidP="000923CD" w:rsidRDefault="65DC5989" w14:paraId="3AFAB9E2" w14:textId="38721AF7">
      <w:pPr>
        <w:pStyle w:val="ListParagraph"/>
        <w:numPr>
          <w:ilvl w:val="0"/>
          <w:numId w:val="63"/>
        </w:numPr>
        <w:rPr>
          <w:rFonts w:eastAsiaTheme="minorEastAsia"/>
          <w:sz w:val="22"/>
          <w:szCs w:val="22"/>
        </w:rPr>
      </w:pPr>
      <w:r w:rsidRPr="000923CD">
        <w:rPr>
          <w:rFonts w:eastAsiaTheme="minorEastAsia"/>
          <w:sz w:val="22"/>
          <w:szCs w:val="22"/>
        </w:rPr>
        <w:t xml:space="preserve">Central funding allows units to be more open to trying </w:t>
      </w:r>
      <w:proofErr w:type="gramStart"/>
      <w:r w:rsidRPr="000923CD">
        <w:rPr>
          <w:rFonts w:eastAsiaTheme="minorEastAsia"/>
          <w:sz w:val="22"/>
          <w:szCs w:val="22"/>
        </w:rPr>
        <w:t>different types</w:t>
      </w:r>
      <w:proofErr w:type="gramEnd"/>
      <w:r w:rsidRPr="000923CD">
        <w:rPr>
          <w:rFonts w:eastAsiaTheme="minorEastAsia"/>
          <w:sz w:val="22"/>
          <w:szCs w:val="22"/>
        </w:rPr>
        <w:t xml:space="preserve"> of </w:t>
      </w:r>
      <w:proofErr w:type="gramStart"/>
      <w:r w:rsidRPr="000923CD">
        <w:rPr>
          <w:rFonts w:eastAsiaTheme="minorEastAsia"/>
          <w:sz w:val="22"/>
          <w:szCs w:val="22"/>
        </w:rPr>
        <w:t>accommodations</w:t>
      </w:r>
      <w:proofErr w:type="gramEnd"/>
      <w:r w:rsidRPr="000923CD">
        <w:rPr>
          <w:rFonts w:eastAsiaTheme="minorEastAsia"/>
          <w:sz w:val="22"/>
          <w:szCs w:val="22"/>
        </w:rPr>
        <w:t xml:space="preserve"> to better meet their </w:t>
      </w:r>
      <w:proofErr w:type="gramStart"/>
      <w:r w:rsidRPr="000923CD">
        <w:rPr>
          <w:rFonts w:eastAsiaTheme="minorEastAsia"/>
          <w:sz w:val="22"/>
          <w:szCs w:val="22"/>
        </w:rPr>
        <w:t>employee’s</w:t>
      </w:r>
      <w:proofErr w:type="gramEnd"/>
      <w:r w:rsidRPr="000923CD">
        <w:rPr>
          <w:rFonts w:eastAsiaTheme="minorEastAsia"/>
          <w:sz w:val="22"/>
          <w:szCs w:val="22"/>
        </w:rPr>
        <w:t xml:space="preserve"> needs (e.g., the </w:t>
      </w:r>
      <w:proofErr w:type="gramStart"/>
      <w:r w:rsidRPr="000923CD">
        <w:rPr>
          <w:rFonts w:eastAsiaTheme="minorEastAsia"/>
          <w:sz w:val="22"/>
          <w:szCs w:val="22"/>
        </w:rPr>
        <w:t>employee’s</w:t>
      </w:r>
      <w:proofErr w:type="gramEnd"/>
      <w:r w:rsidRPr="000923CD">
        <w:rPr>
          <w:rFonts w:eastAsiaTheme="minorEastAsia"/>
          <w:sz w:val="22"/>
          <w:szCs w:val="22"/>
        </w:rPr>
        <w:t xml:space="preserve"> preferred piece of adaptive technology versus a minimally sufficient technology). </w:t>
      </w:r>
    </w:p>
    <w:p w:rsidRPr="000923CD" w:rsidR="28C70CA9" w:rsidP="7EF1B1C7" w:rsidRDefault="65DC5989" w14:paraId="516AC9D1" w14:textId="12D36088">
      <w:pPr>
        <w:pStyle w:val="ListParagraph"/>
        <w:numPr>
          <w:ilvl w:val="0"/>
          <w:numId w:val="5"/>
        </w:numPr>
        <w:rPr>
          <w:rFonts w:eastAsiaTheme="minorEastAsia"/>
          <w:sz w:val="22"/>
          <w:szCs w:val="22"/>
        </w:rPr>
      </w:pPr>
      <w:r w:rsidRPr="000923CD">
        <w:rPr>
          <w:rFonts w:eastAsiaTheme="minorEastAsia"/>
          <w:sz w:val="22"/>
          <w:szCs w:val="22"/>
          <w:lang w:val="en"/>
        </w:rPr>
        <w:t xml:space="preserve">Reduces university’s risk of discrimination against individuals with </w:t>
      </w:r>
      <w:proofErr w:type="gramStart"/>
      <w:r w:rsidRPr="000923CD">
        <w:rPr>
          <w:rFonts w:eastAsiaTheme="minorEastAsia"/>
          <w:sz w:val="22"/>
          <w:szCs w:val="22"/>
          <w:lang w:val="en"/>
        </w:rPr>
        <w:t>disabilities</w:t>
      </w:r>
      <w:proofErr w:type="gramEnd"/>
      <w:r w:rsidRPr="000923CD">
        <w:rPr>
          <w:rFonts w:eastAsiaTheme="minorEastAsia"/>
          <w:sz w:val="22"/>
          <w:szCs w:val="22"/>
          <w:lang w:val="en"/>
        </w:rPr>
        <w:t xml:space="preserve"> </w:t>
      </w:r>
    </w:p>
    <w:p w:rsidRPr="000923CD" w:rsidR="28C70CA9" w:rsidP="000923CD" w:rsidRDefault="65DC5989" w14:paraId="2899F587" w14:textId="32417C9D">
      <w:pPr>
        <w:pStyle w:val="ListParagraph"/>
        <w:numPr>
          <w:ilvl w:val="0"/>
          <w:numId w:val="62"/>
        </w:numPr>
        <w:rPr>
          <w:rFonts w:eastAsiaTheme="minorEastAsia"/>
          <w:sz w:val="22"/>
          <w:szCs w:val="22"/>
        </w:rPr>
      </w:pPr>
      <w:r w:rsidRPr="000923CD">
        <w:rPr>
          <w:rFonts w:eastAsiaTheme="minorEastAsia"/>
          <w:sz w:val="22"/>
          <w:szCs w:val="22"/>
        </w:rPr>
        <w:t xml:space="preserve">Units erroneously believe they can deny or delay </w:t>
      </w:r>
      <w:proofErr w:type="gramStart"/>
      <w:r w:rsidRPr="000923CD">
        <w:rPr>
          <w:rFonts w:eastAsiaTheme="minorEastAsia"/>
          <w:sz w:val="22"/>
          <w:szCs w:val="22"/>
        </w:rPr>
        <w:t>a reasonable</w:t>
      </w:r>
      <w:proofErr w:type="gramEnd"/>
      <w:r w:rsidRPr="000923CD">
        <w:rPr>
          <w:rFonts w:eastAsiaTheme="minorEastAsia"/>
          <w:sz w:val="22"/>
          <w:szCs w:val="22"/>
        </w:rPr>
        <w:t xml:space="preserve"> accommodation due to their budget. </w:t>
      </w:r>
    </w:p>
    <w:p w:rsidRPr="000923CD" w:rsidR="28C70CA9" w:rsidP="000923CD" w:rsidRDefault="65DC5989" w14:paraId="6CB5794A" w14:textId="2F91E541">
      <w:pPr>
        <w:pStyle w:val="ListParagraph"/>
        <w:numPr>
          <w:ilvl w:val="0"/>
          <w:numId w:val="62"/>
        </w:numPr>
        <w:rPr>
          <w:rFonts w:eastAsiaTheme="minorEastAsia"/>
          <w:sz w:val="22"/>
          <w:szCs w:val="22"/>
        </w:rPr>
      </w:pPr>
      <w:r w:rsidRPr="000923CD">
        <w:rPr>
          <w:rFonts w:eastAsiaTheme="minorEastAsia"/>
          <w:sz w:val="22"/>
          <w:szCs w:val="22"/>
        </w:rPr>
        <w:t xml:space="preserve">Units maintain that individuals with disabilities are problematic due to the associated cost of providing reasonable </w:t>
      </w:r>
      <w:proofErr w:type="gramStart"/>
      <w:r w:rsidRPr="000923CD">
        <w:rPr>
          <w:rFonts w:eastAsiaTheme="minorEastAsia"/>
          <w:sz w:val="22"/>
          <w:szCs w:val="22"/>
        </w:rPr>
        <w:t xml:space="preserve">accommodations.  </w:t>
      </w:r>
      <w:proofErr w:type="gramEnd"/>
    </w:p>
    <w:p w:rsidRPr="000923CD" w:rsidR="28C70CA9" w:rsidP="000923CD" w:rsidRDefault="65DC5989" w14:paraId="6E5ADE14" w14:textId="2899A01F">
      <w:pPr>
        <w:pStyle w:val="ListParagraph"/>
        <w:numPr>
          <w:ilvl w:val="0"/>
          <w:numId w:val="5"/>
        </w:numPr>
        <w:rPr>
          <w:rFonts w:eastAsiaTheme="minorEastAsia"/>
          <w:sz w:val="22"/>
          <w:szCs w:val="22"/>
        </w:rPr>
      </w:pPr>
      <w:r w:rsidRPr="000923CD">
        <w:rPr>
          <w:rFonts w:eastAsiaTheme="minorEastAsia"/>
          <w:sz w:val="22"/>
          <w:szCs w:val="22"/>
          <w:lang w:val="en"/>
        </w:rPr>
        <w:t>Enhances administrative efficiency and cost-</w:t>
      </w:r>
      <w:proofErr w:type="gramStart"/>
      <w:r w:rsidRPr="000923CD">
        <w:rPr>
          <w:rFonts w:eastAsiaTheme="minorEastAsia"/>
          <w:sz w:val="22"/>
          <w:szCs w:val="22"/>
          <w:lang w:val="en"/>
        </w:rPr>
        <w:t>savings</w:t>
      </w:r>
      <w:proofErr w:type="gramEnd"/>
      <w:r w:rsidRPr="000923CD">
        <w:rPr>
          <w:rFonts w:eastAsiaTheme="minorEastAsia"/>
          <w:sz w:val="22"/>
          <w:szCs w:val="22"/>
          <w:lang w:val="en"/>
        </w:rPr>
        <w:t xml:space="preserve"> </w:t>
      </w:r>
    </w:p>
    <w:p w:rsidRPr="000923CD" w:rsidR="28C70CA9" w:rsidP="000923CD" w:rsidRDefault="65DC5989" w14:paraId="45492E34" w14:textId="114F94E6">
      <w:pPr>
        <w:pStyle w:val="ListParagraph"/>
        <w:numPr>
          <w:ilvl w:val="0"/>
          <w:numId w:val="60"/>
        </w:numPr>
        <w:rPr>
          <w:rFonts w:eastAsiaTheme="minorEastAsia"/>
          <w:sz w:val="22"/>
          <w:szCs w:val="22"/>
        </w:rPr>
      </w:pPr>
      <w:r w:rsidRPr="000923CD">
        <w:rPr>
          <w:rFonts w:eastAsiaTheme="minorEastAsia"/>
          <w:sz w:val="22"/>
          <w:szCs w:val="22"/>
        </w:rPr>
        <w:t xml:space="preserve">Accommodations delivered as a service from one department (e.g., sign language interpreting provided by the McBurney Center) to another were previously billed. Financial personnel spent time billing, following up on invoices, processing payment, and resolving other administrative issues between departments for business services generated and delivered fully within the university. This </w:t>
      </w:r>
      <w:proofErr w:type="gramStart"/>
      <w:r w:rsidRPr="000923CD">
        <w:rPr>
          <w:rFonts w:eastAsiaTheme="minorEastAsia"/>
          <w:sz w:val="22"/>
          <w:szCs w:val="22"/>
        </w:rPr>
        <w:t>was recognized</w:t>
      </w:r>
      <w:proofErr w:type="gramEnd"/>
      <w:r w:rsidRPr="000923CD">
        <w:rPr>
          <w:rFonts w:eastAsiaTheme="minorEastAsia"/>
          <w:sz w:val="22"/>
          <w:szCs w:val="22"/>
        </w:rPr>
        <w:t xml:space="preserve"> as an inefficient and high administrative process resulting in the university recently approving central funding for sign language interpreting, captioning, and media captioning for all individuals. </w:t>
      </w:r>
    </w:p>
    <w:p w:rsidRPr="000923CD" w:rsidR="28C70CA9" w:rsidP="000923CD" w:rsidRDefault="65DC5989" w14:paraId="7152F77A" w14:textId="707C5150">
      <w:pPr>
        <w:pStyle w:val="ListParagraph"/>
        <w:numPr>
          <w:ilvl w:val="0"/>
          <w:numId w:val="60"/>
        </w:numPr>
        <w:rPr>
          <w:rFonts w:eastAsiaTheme="minorEastAsia"/>
          <w:sz w:val="22"/>
          <w:szCs w:val="22"/>
        </w:rPr>
      </w:pPr>
      <w:proofErr w:type="gramStart"/>
      <w:r w:rsidRPr="000923CD">
        <w:rPr>
          <w:rFonts w:eastAsiaTheme="minorEastAsia"/>
          <w:sz w:val="22"/>
          <w:szCs w:val="22"/>
        </w:rPr>
        <w:t>Accommodations</w:t>
      </w:r>
      <w:proofErr w:type="gramEnd"/>
      <w:r w:rsidRPr="000923CD">
        <w:rPr>
          <w:rFonts w:eastAsiaTheme="minorEastAsia"/>
          <w:sz w:val="22"/>
          <w:szCs w:val="22"/>
        </w:rPr>
        <w:t xml:space="preserve"> (e.g., assistive technology, modified tools or equipment, accessible office furniture. </w:t>
      </w:r>
      <w:proofErr w:type="gramStart"/>
      <w:r w:rsidRPr="000923CD">
        <w:rPr>
          <w:rFonts w:eastAsiaTheme="minorEastAsia"/>
          <w:sz w:val="22"/>
          <w:szCs w:val="22"/>
        </w:rPr>
        <w:t>etc.</w:t>
      </w:r>
      <w:proofErr w:type="gramEnd"/>
      <w:r w:rsidRPr="000923CD">
        <w:rPr>
          <w:rFonts w:eastAsiaTheme="minorEastAsia"/>
          <w:sz w:val="22"/>
          <w:szCs w:val="22"/>
        </w:rPr>
        <w:t xml:space="preserve">) do not transfer with the individual who switches employment. A central fund enhances cost savings by transferring the accommodation with the individual instead of the new department purchasing the same accommodation. </w:t>
      </w:r>
    </w:p>
    <w:p w:rsidRPr="000923CD" w:rsidR="28C70CA9" w:rsidP="7EF1B1C7" w:rsidRDefault="65DC5989" w14:paraId="6A07A254" w14:textId="487D8D44">
      <w:pPr>
        <w:pStyle w:val="ListParagraph"/>
        <w:numPr>
          <w:ilvl w:val="0"/>
          <w:numId w:val="5"/>
        </w:numPr>
        <w:rPr>
          <w:rFonts w:eastAsiaTheme="minorEastAsia"/>
          <w:sz w:val="22"/>
          <w:szCs w:val="22"/>
        </w:rPr>
      </w:pPr>
      <w:r w:rsidRPr="000923CD">
        <w:rPr>
          <w:rFonts w:eastAsiaTheme="minorEastAsia"/>
          <w:sz w:val="22"/>
          <w:szCs w:val="22"/>
          <w:lang w:val="en"/>
        </w:rPr>
        <w:t xml:space="preserve">Ability to centrally track accommodation </w:t>
      </w:r>
      <w:proofErr w:type="gramStart"/>
      <w:r w:rsidRPr="000923CD">
        <w:rPr>
          <w:rFonts w:eastAsiaTheme="minorEastAsia"/>
          <w:sz w:val="22"/>
          <w:szCs w:val="22"/>
          <w:lang w:val="en"/>
        </w:rPr>
        <w:t>costs</w:t>
      </w:r>
      <w:proofErr w:type="gramEnd"/>
      <w:r w:rsidRPr="000923CD">
        <w:rPr>
          <w:rFonts w:eastAsiaTheme="minorEastAsia"/>
          <w:sz w:val="22"/>
          <w:szCs w:val="22"/>
          <w:lang w:val="en"/>
        </w:rPr>
        <w:t xml:space="preserve"> </w:t>
      </w:r>
    </w:p>
    <w:p w:rsidRPr="000923CD" w:rsidR="28C70CA9" w:rsidP="000923CD" w:rsidRDefault="65DC5989" w14:paraId="59B365BF" w14:textId="0824E539">
      <w:pPr>
        <w:pStyle w:val="ListParagraph"/>
        <w:numPr>
          <w:ilvl w:val="0"/>
          <w:numId w:val="59"/>
        </w:numPr>
        <w:rPr>
          <w:rFonts w:eastAsiaTheme="minorEastAsia"/>
          <w:sz w:val="22"/>
          <w:szCs w:val="22"/>
        </w:rPr>
      </w:pPr>
      <w:r w:rsidRPr="000923CD">
        <w:rPr>
          <w:rFonts w:eastAsiaTheme="minorEastAsia"/>
          <w:sz w:val="22"/>
          <w:szCs w:val="22"/>
        </w:rPr>
        <w:t>Only the McBurney Center can track accommodation costs as they have a singular, centralized fund due to being the sole point of contact for all students needing an accommodation</w:t>
      </w:r>
      <w:proofErr w:type="gramStart"/>
      <w:r w:rsidRPr="000923CD">
        <w:rPr>
          <w:rFonts w:eastAsiaTheme="minorEastAsia"/>
          <w:sz w:val="22"/>
          <w:szCs w:val="22"/>
        </w:rPr>
        <w:t xml:space="preserve">.  </w:t>
      </w:r>
      <w:proofErr w:type="gramEnd"/>
      <w:r w:rsidRPr="000923CD">
        <w:rPr>
          <w:rFonts w:eastAsiaTheme="minorEastAsia"/>
          <w:sz w:val="22"/>
          <w:szCs w:val="22"/>
        </w:rPr>
        <w:t xml:space="preserve"> </w:t>
      </w:r>
    </w:p>
    <w:p w:rsidRPr="000923CD" w:rsidR="28C70CA9" w:rsidP="000923CD" w:rsidRDefault="65DC5989" w14:paraId="5FED5DF2" w14:textId="7A73D18E">
      <w:pPr>
        <w:pStyle w:val="ListParagraph"/>
        <w:numPr>
          <w:ilvl w:val="0"/>
          <w:numId w:val="59"/>
        </w:numPr>
        <w:rPr>
          <w:rFonts w:eastAsiaTheme="minorEastAsia"/>
          <w:sz w:val="22"/>
          <w:szCs w:val="22"/>
        </w:rPr>
      </w:pPr>
      <w:r w:rsidRPr="000923CD">
        <w:rPr>
          <w:rFonts w:eastAsiaTheme="minorEastAsia"/>
          <w:sz w:val="22"/>
          <w:szCs w:val="22"/>
        </w:rPr>
        <w:t xml:space="preserve">Local employing units (and hosting units for those who have program participants or visitors such as the Union or Athletics) track accommodation costs differently in their budget, which prevents accurate data reporting regarding number and cost of employment or program participant accommodations. The university has no efficient or reliable mechanism by which to report its expenditure on legally required disability </w:t>
      </w:r>
      <w:proofErr w:type="gramStart"/>
      <w:r w:rsidRPr="000923CD">
        <w:rPr>
          <w:rFonts w:eastAsiaTheme="minorEastAsia"/>
          <w:sz w:val="22"/>
          <w:szCs w:val="22"/>
        </w:rPr>
        <w:t>accommodations</w:t>
      </w:r>
      <w:proofErr w:type="gramEnd"/>
      <w:r w:rsidRPr="000923CD">
        <w:rPr>
          <w:rFonts w:eastAsiaTheme="minorEastAsia"/>
          <w:sz w:val="22"/>
          <w:szCs w:val="22"/>
        </w:rPr>
        <w:t xml:space="preserve"> for employees, program participants, and visitors</w:t>
      </w:r>
      <w:proofErr w:type="gramStart"/>
      <w:r w:rsidRPr="000923CD">
        <w:rPr>
          <w:rFonts w:eastAsiaTheme="minorEastAsia"/>
          <w:sz w:val="22"/>
          <w:szCs w:val="22"/>
        </w:rPr>
        <w:t xml:space="preserve">.  </w:t>
      </w:r>
      <w:proofErr w:type="gramEnd"/>
    </w:p>
    <w:p w:rsidRPr="000923CD" w:rsidR="28C70CA9" w:rsidP="000923CD" w:rsidRDefault="65DC5989" w14:paraId="3FBE4136" w14:textId="64C31210">
      <w:pPr>
        <w:pStyle w:val="ListParagraph"/>
        <w:numPr>
          <w:ilvl w:val="0"/>
          <w:numId w:val="59"/>
        </w:numPr>
        <w:rPr>
          <w:rFonts w:eastAsiaTheme="minorEastAsia"/>
          <w:sz w:val="22"/>
          <w:szCs w:val="22"/>
        </w:rPr>
      </w:pPr>
      <w:r w:rsidRPr="000923CD">
        <w:rPr>
          <w:rFonts w:eastAsiaTheme="minorEastAsia"/>
          <w:sz w:val="22"/>
          <w:szCs w:val="22"/>
        </w:rPr>
        <w:t>Tracking accommodation expenditure allows disability and accessibility units to strategize and make recommendations on accessibility priorities (e.g., physical infrastructure access versus operational access)</w:t>
      </w:r>
      <w:proofErr w:type="gramStart"/>
      <w:r w:rsidRPr="000923CD">
        <w:rPr>
          <w:rFonts w:eastAsiaTheme="minorEastAsia"/>
          <w:sz w:val="22"/>
          <w:szCs w:val="22"/>
        </w:rPr>
        <w:t xml:space="preserve">.  </w:t>
      </w:r>
      <w:proofErr w:type="gramEnd"/>
    </w:p>
    <w:p w:rsidRPr="00CF7CAB" w:rsidR="28C70CA9" w:rsidP="00CF7CAB" w:rsidRDefault="65DC5989" w14:paraId="332D3E85" w14:textId="10E7C7C5">
      <w:pPr>
        <w:pStyle w:val="ListParagraph"/>
        <w:numPr>
          <w:ilvl w:val="0"/>
          <w:numId w:val="5"/>
        </w:numPr>
        <w:rPr>
          <w:rFonts w:eastAsiaTheme="minorEastAsia"/>
          <w:sz w:val="22"/>
          <w:szCs w:val="22"/>
        </w:rPr>
      </w:pPr>
      <w:r w:rsidRPr="00CF7CAB">
        <w:rPr>
          <w:rFonts w:eastAsiaTheme="minorEastAsia"/>
          <w:sz w:val="22"/>
          <w:szCs w:val="22"/>
          <w:lang w:val="en"/>
        </w:rPr>
        <w:t>Alignment with Big Ten universities and general best practices</w:t>
      </w:r>
    </w:p>
    <w:p w:rsidRPr="000923CD" w:rsidR="28C70CA9" w:rsidP="000923CD" w:rsidRDefault="65DC5989" w14:paraId="2AA8EB1E" w14:textId="4201AD4A">
      <w:pPr>
        <w:pStyle w:val="ListParagraph"/>
        <w:numPr>
          <w:ilvl w:val="0"/>
          <w:numId w:val="57"/>
        </w:numPr>
        <w:rPr>
          <w:rFonts w:eastAsiaTheme="minorEastAsia"/>
          <w:sz w:val="22"/>
          <w:szCs w:val="22"/>
        </w:rPr>
      </w:pPr>
      <w:r w:rsidRPr="000923CD">
        <w:rPr>
          <w:rFonts w:eastAsiaTheme="minorEastAsia"/>
          <w:sz w:val="22"/>
          <w:szCs w:val="22"/>
        </w:rPr>
        <w:t xml:space="preserve">Most Big10 universities operate a central funding model system. </w:t>
      </w:r>
    </w:p>
    <w:p w:rsidRPr="000923CD" w:rsidR="28C70CA9" w:rsidP="000923CD" w:rsidRDefault="65DC5989" w14:paraId="3B5F555C" w14:textId="23D229CE">
      <w:pPr>
        <w:pStyle w:val="ListParagraph"/>
        <w:numPr>
          <w:ilvl w:val="0"/>
          <w:numId w:val="57"/>
        </w:numPr>
        <w:rPr>
          <w:rFonts w:eastAsiaTheme="minorEastAsia"/>
          <w:sz w:val="22"/>
          <w:szCs w:val="22"/>
        </w:rPr>
      </w:pPr>
      <w:r w:rsidRPr="000923CD">
        <w:rPr>
          <w:rFonts w:eastAsiaTheme="minorEastAsia"/>
          <w:sz w:val="22"/>
          <w:szCs w:val="22"/>
        </w:rPr>
        <w:t xml:space="preserve">Central funding allows for better quality </w:t>
      </w:r>
      <w:proofErr w:type="gramStart"/>
      <w:r w:rsidRPr="000923CD">
        <w:rPr>
          <w:rFonts w:eastAsiaTheme="minorEastAsia"/>
          <w:sz w:val="22"/>
          <w:szCs w:val="22"/>
        </w:rPr>
        <w:t>control of accommodations</w:t>
      </w:r>
      <w:proofErr w:type="gramEnd"/>
      <w:r w:rsidRPr="000923CD">
        <w:rPr>
          <w:rFonts w:eastAsiaTheme="minorEastAsia"/>
          <w:sz w:val="22"/>
          <w:szCs w:val="22"/>
        </w:rPr>
        <w:t xml:space="preserve"> to </w:t>
      </w:r>
      <w:proofErr w:type="gramStart"/>
      <w:r w:rsidRPr="000923CD">
        <w:rPr>
          <w:rFonts w:eastAsiaTheme="minorEastAsia"/>
          <w:sz w:val="22"/>
          <w:szCs w:val="22"/>
        </w:rPr>
        <w:t>be provided</w:t>
      </w:r>
      <w:proofErr w:type="gramEnd"/>
      <w:r w:rsidRPr="000923CD">
        <w:rPr>
          <w:rFonts w:eastAsiaTheme="minorEastAsia"/>
          <w:sz w:val="22"/>
          <w:szCs w:val="22"/>
        </w:rPr>
        <w:t xml:space="preserve"> when departments do not need to balance budget against securing the most effective accommodation. </w:t>
      </w:r>
    </w:p>
    <w:p w:rsidRPr="000923CD" w:rsidR="28C70CA9" w:rsidP="000923CD" w:rsidRDefault="65DC5989" w14:paraId="214130B4" w14:textId="2E9B7DEC">
      <w:pPr>
        <w:pStyle w:val="ListParagraph"/>
        <w:numPr>
          <w:ilvl w:val="0"/>
          <w:numId w:val="57"/>
        </w:numPr>
        <w:rPr>
          <w:rFonts w:eastAsiaTheme="minorEastAsia"/>
          <w:sz w:val="22"/>
          <w:szCs w:val="22"/>
        </w:rPr>
      </w:pPr>
      <w:r w:rsidRPr="000923CD">
        <w:rPr>
          <w:rFonts w:eastAsiaTheme="minorEastAsia"/>
          <w:sz w:val="22"/>
          <w:szCs w:val="22"/>
        </w:rPr>
        <w:t xml:space="preserve">Central funding creates a universal university-wide streamlined process that enhances awareness and understanding of the accommodation process. </w:t>
      </w:r>
    </w:p>
    <w:p w:rsidRPr="000923CD" w:rsidR="28C70CA9" w:rsidP="000923CD" w:rsidRDefault="65DC5989" w14:paraId="112055BE" w14:textId="0F232B1B">
      <w:pPr>
        <w:pStyle w:val="ListParagraph"/>
        <w:numPr>
          <w:ilvl w:val="0"/>
          <w:numId w:val="57"/>
        </w:numPr>
        <w:rPr>
          <w:rFonts w:eastAsiaTheme="minorEastAsia"/>
          <w:sz w:val="22"/>
          <w:szCs w:val="22"/>
        </w:rPr>
      </w:pPr>
      <w:r w:rsidRPr="000923CD">
        <w:rPr>
          <w:rFonts w:eastAsiaTheme="minorEastAsia"/>
          <w:sz w:val="22"/>
          <w:szCs w:val="22"/>
          <w:lang w:val="en"/>
        </w:rPr>
        <w:t xml:space="preserve">Central funding affirms university leadership’s commitment to access and inclusion. </w:t>
      </w:r>
    </w:p>
    <w:p w:rsidRPr="000923CD" w:rsidR="28C70CA9" w:rsidP="7EF1B1C7" w:rsidRDefault="65DC5989" w14:paraId="5CD68183" w14:textId="3732D9E3">
      <w:pPr>
        <w:pStyle w:val="Heading2"/>
        <w:spacing w:before="360" w:after="120"/>
        <w:rPr>
          <w:rFonts w:asciiTheme="minorHAnsi" w:hAnsiTheme="minorHAnsi"/>
          <w:sz w:val="28"/>
          <w:szCs w:val="28"/>
        </w:rPr>
      </w:pPr>
      <w:r w:rsidRPr="000923CD">
        <w:rPr>
          <w:rFonts w:asciiTheme="minorHAnsi" w:hAnsiTheme="minorHAnsi"/>
          <w:sz w:val="28"/>
          <w:szCs w:val="28"/>
          <w:lang w:val="en"/>
        </w:rPr>
        <w:t>Cost Projection Exercise</w:t>
      </w:r>
    </w:p>
    <w:p w:rsidRPr="000923CD" w:rsidR="28C70CA9" w:rsidP="7EF1B1C7" w:rsidRDefault="65DC5989" w14:paraId="424D978C" w14:textId="35E2F511">
      <w:pPr>
        <w:rPr>
          <w:rFonts w:eastAsiaTheme="minorEastAsia"/>
          <w:sz w:val="22"/>
          <w:szCs w:val="22"/>
        </w:rPr>
      </w:pPr>
      <w:r w:rsidRPr="000923CD">
        <w:rPr>
          <w:rFonts w:eastAsiaTheme="minorEastAsia"/>
          <w:sz w:val="22"/>
          <w:szCs w:val="22"/>
          <w:lang w:val="en"/>
        </w:rPr>
        <w:t xml:space="preserve">The university only has reliable fiscal data for accommodations approved through the McBurney Disability Resource Center. It is not known how </w:t>
      </w:r>
      <w:proofErr w:type="gramStart"/>
      <w:r w:rsidRPr="000923CD">
        <w:rPr>
          <w:rFonts w:eastAsiaTheme="minorEastAsia"/>
          <w:sz w:val="22"/>
          <w:szCs w:val="22"/>
          <w:lang w:val="en"/>
        </w:rPr>
        <w:t>much</w:t>
      </w:r>
      <w:proofErr w:type="gramEnd"/>
      <w:r w:rsidRPr="000923CD">
        <w:rPr>
          <w:rFonts w:eastAsiaTheme="minorEastAsia"/>
          <w:sz w:val="22"/>
          <w:szCs w:val="22"/>
          <w:lang w:val="en"/>
        </w:rPr>
        <w:t xml:space="preserve"> the university spends on employee or program participant accommodations. To provide a research-based approach towards estimating the amount needed for a central fund to cover the cost of employee and program participant accommodations, the following models and data points </w:t>
      </w:r>
      <w:proofErr w:type="gramStart"/>
      <w:r w:rsidRPr="000923CD">
        <w:rPr>
          <w:rFonts w:eastAsiaTheme="minorEastAsia"/>
          <w:sz w:val="22"/>
          <w:szCs w:val="22"/>
          <w:lang w:val="en"/>
        </w:rPr>
        <w:t>are discussed</w:t>
      </w:r>
      <w:proofErr w:type="gramEnd"/>
      <w:r w:rsidRPr="000923CD">
        <w:rPr>
          <w:rFonts w:eastAsiaTheme="minorEastAsia"/>
          <w:sz w:val="22"/>
          <w:szCs w:val="22"/>
          <w:lang w:val="en"/>
        </w:rPr>
        <w:t xml:space="preserve">. </w:t>
      </w:r>
    </w:p>
    <w:p w:rsidRPr="000923CD" w:rsidR="28C70CA9" w:rsidP="7EF1B1C7" w:rsidRDefault="65DC5989" w14:paraId="1B9D7596" w14:textId="71EEDD12">
      <w:pPr>
        <w:rPr>
          <w:rFonts w:eastAsiaTheme="minorEastAsia"/>
          <w:sz w:val="22"/>
          <w:szCs w:val="22"/>
        </w:rPr>
      </w:pPr>
      <w:r w:rsidRPr="000923CD">
        <w:rPr>
          <w:rFonts w:eastAsiaTheme="minorEastAsia"/>
          <w:sz w:val="22"/>
          <w:szCs w:val="22"/>
        </w:rPr>
        <w:t xml:space="preserve">Please note there is a significant margin of error associated with these projections due to not knowing the accommodation cost or even the number of accommodation requests, as in the case of program participants. In all instances, the highest cost value </w:t>
      </w:r>
      <w:proofErr w:type="gramStart"/>
      <w:r w:rsidRPr="000923CD">
        <w:rPr>
          <w:rFonts w:eastAsiaTheme="minorEastAsia"/>
          <w:sz w:val="22"/>
          <w:szCs w:val="22"/>
        </w:rPr>
        <w:t>was used</w:t>
      </w:r>
      <w:proofErr w:type="gramEnd"/>
      <w:r w:rsidRPr="000923CD">
        <w:rPr>
          <w:rFonts w:eastAsiaTheme="minorEastAsia"/>
          <w:sz w:val="22"/>
          <w:szCs w:val="22"/>
        </w:rPr>
        <w:t xml:space="preserve"> to provide a fiscally prudent estimation. For simplification, values </w:t>
      </w:r>
      <w:proofErr w:type="gramStart"/>
      <w:r w:rsidRPr="000923CD">
        <w:rPr>
          <w:rFonts w:eastAsiaTheme="minorEastAsia"/>
          <w:sz w:val="22"/>
          <w:szCs w:val="22"/>
        </w:rPr>
        <w:t>are rounded</w:t>
      </w:r>
      <w:proofErr w:type="gramEnd"/>
      <w:r w:rsidRPr="000923CD">
        <w:rPr>
          <w:rFonts w:eastAsiaTheme="minorEastAsia"/>
          <w:sz w:val="22"/>
          <w:szCs w:val="22"/>
        </w:rPr>
        <w:t xml:space="preserve">. </w:t>
      </w:r>
    </w:p>
    <w:p w:rsidRPr="000923CD" w:rsidR="28C70CA9" w:rsidP="7EF1B1C7" w:rsidRDefault="65DC5989" w14:paraId="7CD9DAD9" w14:textId="5979288E">
      <w:pPr>
        <w:pStyle w:val="Heading3"/>
        <w:spacing w:before="320"/>
        <w:rPr>
          <w:color w:val="434343"/>
        </w:rPr>
      </w:pPr>
      <w:r w:rsidRPr="000923CD">
        <w:rPr>
          <w:i/>
          <w:iCs/>
          <w:color w:val="434343"/>
          <w:lang w:val="en"/>
        </w:rPr>
        <w:t>Projected Cost for Employees</w:t>
      </w:r>
    </w:p>
    <w:p w:rsidRPr="000923CD" w:rsidR="28C70CA9" w:rsidP="7EF1B1C7" w:rsidRDefault="65DC5989" w14:paraId="0D5C5F6F" w14:textId="6D30C81A">
      <w:pPr>
        <w:pStyle w:val="Heading4"/>
        <w:spacing w:before="280" w:after="80"/>
        <w:rPr>
          <w:rFonts w:eastAsiaTheme="minorEastAsia" w:cstheme="minorBidi"/>
          <w:i w:val="0"/>
          <w:iCs w:val="0"/>
          <w:color w:val="666666"/>
        </w:rPr>
      </w:pPr>
      <w:r w:rsidRPr="000923CD">
        <w:rPr>
          <w:rFonts w:eastAsiaTheme="minorEastAsia" w:cstheme="minorBidi"/>
          <w:i w:val="0"/>
          <w:iCs w:val="0"/>
          <w:color w:val="666666"/>
          <w:lang w:val="en"/>
        </w:rPr>
        <w:t>Model 1: National Data Trend</w:t>
      </w:r>
    </w:p>
    <w:p w:rsidRPr="000923CD" w:rsidR="28C70CA9" w:rsidP="7EF1B1C7" w:rsidRDefault="65DC5989" w14:paraId="49E5781F" w14:textId="5AAC9A9A">
      <w:pPr>
        <w:rPr>
          <w:rFonts w:eastAsiaTheme="minorEastAsia"/>
          <w:sz w:val="22"/>
          <w:szCs w:val="22"/>
        </w:rPr>
      </w:pPr>
      <w:r w:rsidRPr="000923CD">
        <w:rPr>
          <w:rFonts w:eastAsiaTheme="minorEastAsia"/>
          <w:sz w:val="22"/>
          <w:szCs w:val="22"/>
        </w:rPr>
        <w:t>Research from the Job Accommodation Network</w:t>
      </w:r>
      <w:r w:rsidRPr="000923CD">
        <w:rPr>
          <w:rFonts w:eastAsiaTheme="minorEastAsia"/>
          <w:sz w:val="22"/>
          <w:szCs w:val="22"/>
          <w:vertAlign w:val="superscript"/>
        </w:rPr>
        <w:t>3</w:t>
      </w:r>
      <w:r w:rsidRPr="000923CD">
        <w:rPr>
          <w:rFonts w:eastAsiaTheme="minorEastAsia"/>
          <w:sz w:val="22"/>
          <w:szCs w:val="22"/>
        </w:rPr>
        <w:t xml:space="preserve"> affirms 56% of employment </w:t>
      </w:r>
      <w:proofErr w:type="gramStart"/>
      <w:r w:rsidRPr="000923CD">
        <w:rPr>
          <w:rFonts w:eastAsiaTheme="minorEastAsia"/>
          <w:sz w:val="22"/>
          <w:szCs w:val="22"/>
        </w:rPr>
        <w:t>accommodations have</w:t>
      </w:r>
      <w:proofErr w:type="gramEnd"/>
      <w:r w:rsidRPr="000923CD">
        <w:rPr>
          <w:rFonts w:eastAsiaTheme="minorEastAsia"/>
          <w:sz w:val="22"/>
          <w:szCs w:val="22"/>
        </w:rPr>
        <w:t xml:space="preserve"> no cost to implement (e.g., modified work schedule), and the remaining accommodation cost is typically a one-time amount of $500.00. In fiscal year 2022, there were 1,049 employment cases</w:t>
      </w:r>
      <w:r w:rsidRPr="000923CD">
        <w:rPr>
          <w:rFonts w:eastAsiaTheme="minorEastAsia"/>
          <w:sz w:val="22"/>
          <w:szCs w:val="22"/>
          <w:vertAlign w:val="superscript"/>
        </w:rPr>
        <w:t>4</w:t>
      </w:r>
      <w:r w:rsidRPr="000923CD">
        <w:rPr>
          <w:rFonts w:eastAsiaTheme="minorEastAsia"/>
          <w:sz w:val="22"/>
          <w:szCs w:val="22"/>
        </w:rPr>
        <w:t xml:space="preserve"> resulting in 562 accommodation requests. Using JAN’s data, we can estimate that half of the 562 requests resulted in an annual expenditure of (281 accommodations x $500): $140,500. </w:t>
      </w:r>
    </w:p>
    <w:p w:rsidRPr="000923CD" w:rsidR="28C70CA9" w:rsidP="7EF1B1C7" w:rsidRDefault="65DC5989" w14:paraId="61203F34" w14:textId="7B187F3D">
      <w:pPr>
        <w:pStyle w:val="Heading4"/>
        <w:spacing w:before="280" w:after="80"/>
        <w:rPr>
          <w:i w:val="0"/>
          <w:iCs w:val="0"/>
          <w:color w:val="666666"/>
        </w:rPr>
      </w:pPr>
      <w:r w:rsidRPr="000923CD">
        <w:rPr>
          <w:i w:val="0"/>
          <w:iCs w:val="0"/>
          <w:color w:val="666666"/>
          <w:lang w:val="en"/>
        </w:rPr>
        <w:t>Model 2: Extrapolation Based on Sample of Employee Data</w:t>
      </w:r>
    </w:p>
    <w:p w:rsidRPr="000923CD" w:rsidR="28C70CA9" w:rsidP="7EF1B1C7" w:rsidRDefault="65DC5989" w14:paraId="5A91BECE" w14:textId="2C4D080D">
      <w:pPr>
        <w:rPr>
          <w:rFonts w:eastAsiaTheme="minorEastAsia"/>
          <w:sz w:val="22"/>
          <w:szCs w:val="22"/>
        </w:rPr>
      </w:pPr>
      <w:r w:rsidRPr="000923CD">
        <w:rPr>
          <w:rFonts w:eastAsiaTheme="minorEastAsia"/>
          <w:sz w:val="22"/>
          <w:szCs w:val="22"/>
          <w:lang w:val="en"/>
        </w:rPr>
        <w:t>Sampling of some available fiscal year 2022 employment accommodations indicate $63,545.00 were spent on 73 accommodation requests, resulting in a per accommodation cost average of $871.00.</w:t>
      </w:r>
      <w:r w:rsidRPr="000923CD">
        <w:rPr>
          <w:rFonts w:eastAsiaTheme="minorEastAsia"/>
          <w:sz w:val="22"/>
          <w:szCs w:val="22"/>
          <w:vertAlign w:val="superscript"/>
          <w:lang w:val="en"/>
        </w:rPr>
        <w:t>5</w:t>
      </w:r>
      <w:r w:rsidRPr="000923CD">
        <w:rPr>
          <w:rFonts w:eastAsiaTheme="minorEastAsia"/>
          <w:sz w:val="22"/>
          <w:szCs w:val="22"/>
          <w:lang w:val="en"/>
        </w:rPr>
        <w:t xml:space="preserve"> Using JAN’s research that half of accommodations do not have a cost, we can apply our accommodation cost average of $870.00 to arrive at a speculative annual total expenditure of (281 accommodations x $871.00): $245,000.</w:t>
      </w:r>
    </w:p>
    <w:p w:rsidRPr="000923CD" w:rsidR="28C70CA9" w:rsidP="7EF1B1C7" w:rsidRDefault="65DC5989" w14:paraId="21E4A646" w14:textId="60CFA93B">
      <w:pPr>
        <w:pStyle w:val="Heading4"/>
        <w:spacing w:before="280" w:after="80"/>
        <w:rPr>
          <w:i w:val="0"/>
          <w:iCs w:val="0"/>
          <w:color w:val="666666"/>
        </w:rPr>
      </w:pPr>
      <w:r w:rsidRPr="000923CD">
        <w:rPr>
          <w:i w:val="0"/>
          <w:iCs w:val="0"/>
          <w:color w:val="666666"/>
          <w:lang w:val="en"/>
        </w:rPr>
        <w:t>Model 3: Extrapolation Based on Existing Student Data</w:t>
      </w:r>
    </w:p>
    <w:p w:rsidRPr="000923CD" w:rsidR="28C70CA9" w:rsidP="7EF1B1C7" w:rsidRDefault="65DC5989" w14:paraId="24A43125" w14:textId="26AF0208">
      <w:pPr>
        <w:rPr>
          <w:rFonts w:eastAsiaTheme="minorEastAsia"/>
          <w:sz w:val="22"/>
          <w:szCs w:val="22"/>
        </w:rPr>
      </w:pPr>
      <w:r w:rsidRPr="000923CD">
        <w:rPr>
          <w:rFonts w:eastAsiaTheme="minorEastAsia"/>
          <w:sz w:val="22"/>
          <w:szCs w:val="22"/>
        </w:rPr>
        <w:t xml:space="preserve">McBurney Disability Resource Center data shows $602,729 </w:t>
      </w:r>
      <w:proofErr w:type="gramStart"/>
      <w:r w:rsidRPr="000923CD">
        <w:rPr>
          <w:rFonts w:eastAsiaTheme="minorEastAsia"/>
          <w:sz w:val="22"/>
          <w:szCs w:val="22"/>
        </w:rPr>
        <w:t>were spent</w:t>
      </w:r>
      <w:proofErr w:type="gramEnd"/>
      <w:r w:rsidRPr="000923CD">
        <w:rPr>
          <w:rFonts w:eastAsiaTheme="minorEastAsia"/>
          <w:sz w:val="22"/>
          <w:szCs w:val="22"/>
        </w:rPr>
        <w:t xml:space="preserve"> for 4,515 students in fiscal year 2022 resulting in an average per person cost of $134.00. This amount cannot </w:t>
      </w:r>
      <w:proofErr w:type="gramStart"/>
      <w:r w:rsidRPr="000923CD">
        <w:rPr>
          <w:rFonts w:eastAsiaTheme="minorEastAsia"/>
          <w:sz w:val="22"/>
          <w:szCs w:val="22"/>
        </w:rPr>
        <w:t>be applied</w:t>
      </w:r>
      <w:proofErr w:type="gramEnd"/>
      <w:r w:rsidRPr="000923CD">
        <w:rPr>
          <w:rFonts w:eastAsiaTheme="minorEastAsia"/>
          <w:sz w:val="22"/>
          <w:szCs w:val="22"/>
        </w:rPr>
        <w:t xml:space="preserve"> to employees because this data point is based on per person cost and not on the cost of each approved accommodation. </w:t>
      </w:r>
    </w:p>
    <w:p w:rsidRPr="000923CD" w:rsidR="28C70CA9" w:rsidP="7EF1B1C7" w:rsidRDefault="65DC5989" w14:paraId="3EC002B2" w14:textId="34FEB7E6">
      <w:pPr>
        <w:pStyle w:val="Heading4"/>
        <w:spacing w:before="280" w:after="80"/>
        <w:rPr>
          <w:i w:val="0"/>
          <w:iCs w:val="0"/>
          <w:color w:val="666666"/>
        </w:rPr>
      </w:pPr>
      <w:r w:rsidRPr="000923CD">
        <w:rPr>
          <w:i w:val="0"/>
          <w:iCs w:val="0"/>
          <w:color w:val="666666"/>
          <w:lang w:val="en"/>
        </w:rPr>
        <w:t>Other Accommodation Expenditures</w:t>
      </w:r>
    </w:p>
    <w:p w:rsidRPr="000923CD" w:rsidR="28C70CA9" w:rsidP="7EF1B1C7" w:rsidRDefault="65DC5989" w14:paraId="6F621A8F" w14:textId="7BBDEC06">
      <w:pPr>
        <w:rPr>
          <w:rFonts w:eastAsiaTheme="minorEastAsia"/>
          <w:sz w:val="22"/>
          <w:szCs w:val="22"/>
        </w:rPr>
      </w:pPr>
      <w:r w:rsidRPr="000923CD">
        <w:rPr>
          <w:rFonts w:eastAsiaTheme="minorEastAsia"/>
          <w:sz w:val="22"/>
          <w:szCs w:val="22"/>
          <w:lang w:val="en"/>
        </w:rPr>
        <w:t xml:space="preserve">Travel </w:t>
      </w:r>
      <w:proofErr w:type="gramStart"/>
      <w:r w:rsidRPr="000923CD">
        <w:rPr>
          <w:rFonts w:eastAsiaTheme="minorEastAsia"/>
          <w:sz w:val="22"/>
          <w:szCs w:val="22"/>
          <w:lang w:val="en"/>
        </w:rPr>
        <w:t>accommodations</w:t>
      </w:r>
      <w:proofErr w:type="gramEnd"/>
      <w:r w:rsidRPr="000923CD">
        <w:rPr>
          <w:rFonts w:eastAsiaTheme="minorEastAsia"/>
          <w:sz w:val="22"/>
          <w:szCs w:val="22"/>
          <w:lang w:val="en"/>
        </w:rPr>
        <w:t xml:space="preserve"> and physical barrier removal are two known accommodation types that result in a higher expense to the university for employment accommodations. </w:t>
      </w:r>
      <w:proofErr w:type="gramStart"/>
      <w:r w:rsidRPr="000923CD">
        <w:rPr>
          <w:rFonts w:eastAsiaTheme="minorEastAsia"/>
          <w:sz w:val="22"/>
          <w:szCs w:val="22"/>
          <w:lang w:val="en"/>
        </w:rPr>
        <w:t>Some</w:t>
      </w:r>
      <w:proofErr w:type="gramEnd"/>
      <w:r w:rsidRPr="000923CD">
        <w:rPr>
          <w:rFonts w:eastAsiaTheme="minorEastAsia"/>
          <w:sz w:val="22"/>
          <w:szCs w:val="22"/>
          <w:lang w:val="en"/>
        </w:rPr>
        <w:t xml:space="preserve"> known data </w:t>
      </w:r>
      <w:proofErr w:type="gramStart"/>
      <w:r w:rsidRPr="000923CD">
        <w:rPr>
          <w:rFonts w:eastAsiaTheme="minorEastAsia"/>
          <w:sz w:val="22"/>
          <w:szCs w:val="22"/>
          <w:lang w:val="en"/>
        </w:rPr>
        <w:t>are discussed</w:t>
      </w:r>
      <w:proofErr w:type="gramEnd"/>
      <w:r w:rsidRPr="000923CD">
        <w:rPr>
          <w:rFonts w:eastAsiaTheme="minorEastAsia"/>
          <w:sz w:val="22"/>
          <w:szCs w:val="22"/>
          <w:lang w:val="en"/>
        </w:rPr>
        <w:t xml:space="preserve"> further: </w:t>
      </w:r>
    </w:p>
    <w:p w:rsidRPr="000923CD" w:rsidR="28C70CA9" w:rsidP="7EF1B1C7" w:rsidRDefault="65DC5989" w14:paraId="4AA579D2" w14:textId="3FBA215D">
      <w:pPr>
        <w:pStyle w:val="Heading5"/>
        <w:spacing w:before="240" w:after="80"/>
        <w:rPr>
          <w:color w:val="666666"/>
          <w:sz w:val="22"/>
          <w:szCs w:val="22"/>
        </w:rPr>
      </w:pPr>
      <w:r w:rsidRPr="000923CD">
        <w:rPr>
          <w:color w:val="666666"/>
          <w:sz w:val="22"/>
          <w:szCs w:val="22"/>
          <w:u w:val="single"/>
          <w:lang w:val="en"/>
        </w:rPr>
        <w:t>Travel Accommodations</w:t>
      </w:r>
    </w:p>
    <w:p w:rsidRPr="000923CD" w:rsidR="28C70CA9" w:rsidP="7EF1B1C7" w:rsidRDefault="65DC5989" w14:paraId="2A929AC4" w14:textId="1F45FFB8">
      <w:pPr>
        <w:rPr>
          <w:rFonts w:eastAsiaTheme="minorEastAsia"/>
          <w:sz w:val="22"/>
          <w:szCs w:val="22"/>
        </w:rPr>
      </w:pPr>
      <w:r w:rsidRPr="000923CD">
        <w:rPr>
          <w:rFonts w:eastAsiaTheme="minorEastAsia"/>
          <w:sz w:val="22"/>
          <w:szCs w:val="22"/>
        </w:rPr>
        <w:t xml:space="preserve">The most common travel accommodation is additional </w:t>
      </w:r>
      <w:proofErr w:type="gramStart"/>
      <w:r w:rsidRPr="000923CD">
        <w:rPr>
          <w:rFonts w:eastAsiaTheme="minorEastAsia"/>
          <w:sz w:val="22"/>
          <w:szCs w:val="22"/>
        </w:rPr>
        <w:t>leg-room</w:t>
      </w:r>
      <w:proofErr w:type="gramEnd"/>
      <w:r w:rsidRPr="000923CD">
        <w:rPr>
          <w:rFonts w:eastAsiaTheme="minorEastAsia"/>
          <w:sz w:val="22"/>
          <w:szCs w:val="22"/>
        </w:rPr>
        <w:t xml:space="preserve"> or the ability to change seating </w:t>
      </w:r>
      <w:proofErr w:type="gramStart"/>
      <w:r w:rsidRPr="000923CD">
        <w:rPr>
          <w:rFonts w:eastAsiaTheme="minorEastAsia"/>
          <w:sz w:val="22"/>
          <w:szCs w:val="22"/>
        </w:rPr>
        <w:t>position</w:t>
      </w:r>
      <w:proofErr w:type="gramEnd"/>
      <w:r w:rsidRPr="000923CD">
        <w:rPr>
          <w:rFonts w:eastAsiaTheme="minorEastAsia"/>
          <w:sz w:val="22"/>
          <w:szCs w:val="22"/>
        </w:rPr>
        <w:t xml:space="preserve"> within an aircraft, resulting in a business or first-class airfare ticket. Currently, </w:t>
      </w:r>
      <w:proofErr w:type="gramStart"/>
      <w:r w:rsidRPr="000923CD">
        <w:rPr>
          <w:rFonts w:eastAsiaTheme="minorEastAsia"/>
          <w:sz w:val="22"/>
          <w:szCs w:val="22"/>
        </w:rPr>
        <w:t>92</w:t>
      </w:r>
      <w:proofErr w:type="gramEnd"/>
      <w:r w:rsidRPr="000923CD">
        <w:rPr>
          <w:rFonts w:eastAsiaTheme="minorEastAsia"/>
          <w:sz w:val="22"/>
          <w:szCs w:val="22"/>
        </w:rPr>
        <w:t xml:space="preserve"> employees have </w:t>
      </w:r>
      <w:proofErr w:type="gramStart"/>
      <w:r w:rsidRPr="000923CD">
        <w:rPr>
          <w:rFonts w:eastAsiaTheme="minorEastAsia"/>
          <w:sz w:val="22"/>
          <w:szCs w:val="22"/>
        </w:rPr>
        <w:t>an approved</w:t>
      </w:r>
      <w:proofErr w:type="gramEnd"/>
      <w:r w:rsidRPr="000923CD">
        <w:rPr>
          <w:rFonts w:eastAsiaTheme="minorEastAsia"/>
          <w:sz w:val="22"/>
          <w:szCs w:val="22"/>
        </w:rPr>
        <w:t xml:space="preserve"> travel-related accommodation, but not all </w:t>
      </w:r>
      <w:proofErr w:type="gramStart"/>
      <w:r w:rsidRPr="000923CD">
        <w:rPr>
          <w:rFonts w:eastAsiaTheme="minorEastAsia"/>
          <w:sz w:val="22"/>
          <w:szCs w:val="22"/>
        </w:rPr>
        <w:t>92</w:t>
      </w:r>
      <w:proofErr w:type="gramEnd"/>
      <w:r w:rsidRPr="000923CD">
        <w:rPr>
          <w:rFonts w:eastAsiaTheme="minorEastAsia"/>
          <w:sz w:val="22"/>
          <w:szCs w:val="22"/>
        </w:rPr>
        <w:t xml:space="preserve"> employees have </w:t>
      </w:r>
      <w:proofErr w:type="gramStart"/>
      <w:r w:rsidRPr="000923CD">
        <w:rPr>
          <w:rFonts w:eastAsiaTheme="minorEastAsia"/>
          <w:sz w:val="22"/>
          <w:szCs w:val="22"/>
        </w:rPr>
        <w:t>an accommodation</w:t>
      </w:r>
      <w:proofErr w:type="gramEnd"/>
      <w:r w:rsidRPr="000923CD">
        <w:rPr>
          <w:rFonts w:eastAsiaTheme="minorEastAsia"/>
          <w:sz w:val="22"/>
          <w:szCs w:val="22"/>
        </w:rPr>
        <w:t xml:space="preserve"> related to flying or travel each year. However, for this exercise and since UW System data affirms the average employee flies 1.5 times per year, we will assume half of the </w:t>
      </w:r>
      <w:proofErr w:type="gramStart"/>
      <w:r w:rsidRPr="000923CD">
        <w:rPr>
          <w:rFonts w:eastAsiaTheme="minorEastAsia"/>
          <w:sz w:val="22"/>
          <w:szCs w:val="22"/>
        </w:rPr>
        <w:t>92</w:t>
      </w:r>
      <w:proofErr w:type="gramEnd"/>
      <w:r w:rsidRPr="000923CD">
        <w:rPr>
          <w:rFonts w:eastAsiaTheme="minorEastAsia"/>
          <w:sz w:val="22"/>
          <w:szCs w:val="22"/>
        </w:rPr>
        <w:t xml:space="preserve"> employees need additional leg room and </w:t>
      </w:r>
      <w:proofErr w:type="gramStart"/>
      <w:r w:rsidRPr="000923CD">
        <w:rPr>
          <w:rFonts w:eastAsiaTheme="minorEastAsia"/>
          <w:sz w:val="22"/>
          <w:szCs w:val="22"/>
        </w:rPr>
        <w:t>flies</w:t>
      </w:r>
      <w:proofErr w:type="gramEnd"/>
      <w:r w:rsidRPr="000923CD">
        <w:rPr>
          <w:rFonts w:eastAsiaTheme="minorEastAsia"/>
          <w:sz w:val="22"/>
          <w:szCs w:val="22"/>
        </w:rPr>
        <w:t xml:space="preserve"> twice per year, domestically and internationally. If a 30-day lead time </w:t>
      </w:r>
      <w:proofErr w:type="gramStart"/>
      <w:r w:rsidRPr="000923CD">
        <w:rPr>
          <w:rFonts w:eastAsiaTheme="minorEastAsia"/>
          <w:sz w:val="22"/>
          <w:szCs w:val="22"/>
        </w:rPr>
        <w:t>is provided</w:t>
      </w:r>
      <w:proofErr w:type="gramEnd"/>
      <w:r w:rsidRPr="000923CD">
        <w:rPr>
          <w:rFonts w:eastAsiaTheme="minorEastAsia"/>
          <w:sz w:val="22"/>
          <w:szCs w:val="22"/>
        </w:rPr>
        <w:t xml:space="preserve"> to purchase tickets, the following projection </w:t>
      </w:r>
      <w:proofErr w:type="gramStart"/>
      <w:r w:rsidRPr="000923CD">
        <w:rPr>
          <w:rFonts w:eastAsiaTheme="minorEastAsia"/>
          <w:sz w:val="22"/>
          <w:szCs w:val="22"/>
        </w:rPr>
        <w:t>is made</w:t>
      </w:r>
      <w:proofErr w:type="gramEnd"/>
      <w:r w:rsidRPr="000923CD">
        <w:rPr>
          <w:rFonts w:eastAsiaTheme="minorEastAsia"/>
          <w:sz w:val="22"/>
          <w:szCs w:val="22"/>
        </w:rPr>
        <w:t xml:space="preserve">: </w:t>
      </w:r>
    </w:p>
    <w:p w:rsidRPr="000923CD" w:rsidR="28C70CA9" w:rsidP="7EF1B1C7" w:rsidRDefault="28C70CA9" w14:paraId="2E8F4954" w14:textId="41AED9B0">
      <w:pPr>
        <w:rPr>
          <w:rFonts w:eastAsia="Arial" w:cs="Arial"/>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020" w:firstRow="1" w:lastRow="0" w:firstColumn="0" w:lastColumn="0" w:noHBand="0" w:noVBand="0"/>
      </w:tblPr>
      <w:tblGrid>
        <w:gridCol w:w="2246"/>
        <w:gridCol w:w="2425"/>
        <w:gridCol w:w="1976"/>
        <w:gridCol w:w="2697"/>
      </w:tblGrid>
      <w:tr w:rsidRPr="000923CD" w:rsidR="7EF1B1C7" w:rsidTr="002004A5" w14:paraId="650B21C2"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24CE6491" w14:textId="73DFF787">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Flight type</w:t>
            </w: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7DD30DFD" w14:textId="1384FDA0">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Standard Fare (required under UW policy)</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57054C37" w14:textId="44DEC594">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First-class Fare</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923CD" w:rsidR="7EF1B1C7" w:rsidP="7EF1B1C7" w:rsidRDefault="7EF1B1C7" w14:paraId="0E508BEC" w14:textId="6C1EAB71">
            <w:pPr>
              <w:widowControl w:val="0"/>
              <w:pBdr>
                <w:top w:val="nil"/>
                <w:left w:val="nil"/>
                <w:bottom w:val="nil"/>
                <w:right w:val="nil"/>
                <w:between w:val="nil"/>
              </w:pBdr>
              <w:rPr>
                <w:rFonts w:eastAsiaTheme="minorEastAsia"/>
                <w:sz w:val="22"/>
                <w:szCs w:val="22"/>
              </w:rPr>
            </w:pPr>
            <w:r w:rsidRPr="000923CD">
              <w:rPr>
                <w:rFonts w:eastAsiaTheme="minorEastAsia"/>
                <w:sz w:val="22"/>
                <w:szCs w:val="22"/>
                <w:lang w:val="en"/>
              </w:rPr>
              <w:t xml:space="preserve">Accommodation Cost (difference between standard and first-class fare) </w:t>
            </w:r>
          </w:p>
        </w:tc>
      </w:tr>
      <w:tr w:rsidRPr="000923CD" w:rsidR="7EF1B1C7" w:rsidTr="002004A5" w14:paraId="3C120796"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454D4DDC" w14:textId="7D318796">
            <w:pPr>
              <w:widowControl w:val="0"/>
              <w:rPr>
                <w:rFonts w:eastAsiaTheme="minorEastAsia"/>
                <w:sz w:val="20"/>
                <w:szCs w:val="20"/>
              </w:rPr>
            </w:pPr>
            <w:r w:rsidRPr="006A7A8A">
              <w:rPr>
                <w:rFonts w:eastAsiaTheme="minorEastAsia"/>
                <w:sz w:val="20"/>
                <w:szCs w:val="20"/>
                <w:lang w:val="en"/>
              </w:rPr>
              <w:t>Domestic (Madison to San Diego)</w:t>
            </w: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6A1CB4DF" w14:textId="4294CAC0">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$506</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54482298" w14:textId="5D719D02">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$1,205</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923CD" w:rsidR="7EF1B1C7" w:rsidP="7EF1B1C7" w:rsidRDefault="7EF1B1C7" w14:paraId="32F1B8E3" w14:textId="5F4A7F85">
            <w:pPr>
              <w:widowControl w:val="0"/>
              <w:pBdr>
                <w:top w:val="nil"/>
                <w:left w:val="nil"/>
                <w:bottom w:val="nil"/>
                <w:right w:val="nil"/>
                <w:between w:val="nil"/>
              </w:pBdr>
              <w:rPr>
                <w:rFonts w:eastAsiaTheme="minorEastAsia"/>
                <w:sz w:val="22"/>
                <w:szCs w:val="22"/>
              </w:rPr>
            </w:pPr>
            <w:r w:rsidRPr="000923CD">
              <w:rPr>
                <w:rFonts w:eastAsiaTheme="minorEastAsia"/>
                <w:sz w:val="22"/>
                <w:szCs w:val="22"/>
                <w:lang w:val="en"/>
              </w:rPr>
              <w:t>$699</w:t>
            </w:r>
          </w:p>
        </w:tc>
      </w:tr>
      <w:tr w:rsidRPr="000923CD" w:rsidR="7EF1B1C7" w:rsidTr="002004A5" w14:paraId="766D4516"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3212C16A" w14:textId="3A7CFB08">
            <w:pPr>
              <w:widowControl w:val="0"/>
              <w:rPr>
                <w:rFonts w:eastAsiaTheme="minorEastAsia"/>
                <w:sz w:val="20"/>
                <w:szCs w:val="20"/>
              </w:rPr>
            </w:pPr>
            <w:r w:rsidRPr="006A7A8A">
              <w:rPr>
                <w:rFonts w:eastAsiaTheme="minorEastAsia"/>
                <w:sz w:val="20"/>
                <w:szCs w:val="20"/>
                <w:lang w:val="en"/>
              </w:rPr>
              <w:t>International (Madison to Munich)</w:t>
            </w: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32502665" w14:textId="72CF6458">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$1,562</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00EA72CD" w14:textId="514DF1B7">
            <w:pPr>
              <w:widowControl w:val="0"/>
              <w:pBdr>
                <w:top w:val="nil"/>
                <w:left w:val="nil"/>
                <w:bottom w:val="nil"/>
                <w:right w:val="nil"/>
                <w:between w:val="nil"/>
              </w:pBdr>
              <w:rPr>
                <w:rFonts w:eastAsiaTheme="minorEastAsia"/>
                <w:sz w:val="20"/>
                <w:szCs w:val="20"/>
              </w:rPr>
            </w:pPr>
            <w:r w:rsidRPr="006A7A8A">
              <w:rPr>
                <w:rFonts w:eastAsiaTheme="minorEastAsia"/>
                <w:sz w:val="20"/>
                <w:szCs w:val="20"/>
                <w:lang w:val="en"/>
              </w:rPr>
              <w:t>$9,481</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923CD" w:rsidR="7EF1B1C7" w:rsidP="7EF1B1C7" w:rsidRDefault="7EF1B1C7" w14:paraId="5143DFAD" w14:textId="292C07A4">
            <w:pPr>
              <w:widowControl w:val="0"/>
              <w:pBdr>
                <w:top w:val="nil"/>
                <w:left w:val="nil"/>
                <w:bottom w:val="nil"/>
                <w:right w:val="nil"/>
                <w:between w:val="nil"/>
              </w:pBdr>
              <w:rPr>
                <w:rFonts w:eastAsiaTheme="minorEastAsia"/>
                <w:sz w:val="22"/>
                <w:szCs w:val="22"/>
              </w:rPr>
            </w:pPr>
            <w:r w:rsidRPr="000923CD">
              <w:rPr>
                <w:rFonts w:eastAsiaTheme="minorEastAsia"/>
                <w:sz w:val="22"/>
                <w:szCs w:val="22"/>
                <w:lang w:val="en"/>
              </w:rPr>
              <w:t>$7,919</w:t>
            </w:r>
          </w:p>
        </w:tc>
      </w:tr>
      <w:tr w:rsidRPr="000923CD" w:rsidR="7EF1B1C7" w:rsidTr="002004A5" w14:paraId="74143C69" w14:textId="77777777">
        <w:trPr>
          <w:trHeight w:val="405"/>
        </w:trPr>
        <w:tc>
          <w:tcPr>
            <w:tcW w:w="936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A7A8A" w:rsidR="7EF1B1C7" w:rsidP="7EF1B1C7" w:rsidRDefault="7EF1B1C7" w14:paraId="4B47026A" w14:textId="595A9493">
            <w:pPr>
              <w:widowControl w:val="0"/>
              <w:rPr>
                <w:rFonts w:eastAsiaTheme="minorEastAsia"/>
                <w:sz w:val="20"/>
                <w:szCs w:val="20"/>
              </w:rPr>
            </w:pPr>
            <w:r w:rsidRPr="006A7A8A">
              <w:rPr>
                <w:rFonts w:eastAsiaTheme="minorEastAsia"/>
                <w:sz w:val="20"/>
                <w:szCs w:val="20"/>
                <w:lang w:val="en"/>
              </w:rPr>
              <w:t>Per person cost for two flights per year is ($699 + $7,919): $8,600</w:t>
            </w:r>
          </w:p>
        </w:tc>
      </w:tr>
    </w:tbl>
    <w:p w:rsidRPr="000923CD" w:rsidR="28C70CA9" w:rsidP="7EF1B1C7" w:rsidRDefault="28C70CA9" w14:paraId="53C13879" w14:textId="381E8A35">
      <w:pPr>
        <w:rPr>
          <w:rFonts w:eastAsia="Arial" w:cs="Arial"/>
          <w:sz w:val="22"/>
          <w:szCs w:val="22"/>
        </w:rPr>
      </w:pPr>
    </w:p>
    <w:p w:rsidRPr="000923CD" w:rsidR="28C70CA9" w:rsidP="7EF1B1C7" w:rsidRDefault="290C750A" w14:paraId="58A1DE2C" w14:textId="4361763C">
      <w:pPr>
        <w:rPr>
          <w:rFonts w:eastAsiaTheme="minorEastAsia"/>
          <w:sz w:val="22"/>
          <w:szCs w:val="22"/>
        </w:rPr>
      </w:pPr>
      <w:r w:rsidRPr="000923CD">
        <w:rPr>
          <w:rFonts w:eastAsiaTheme="minorEastAsia"/>
          <w:sz w:val="22"/>
          <w:szCs w:val="22"/>
        </w:rPr>
        <w:t xml:space="preserve">The estimated annual accommodation cost for travel </w:t>
      </w:r>
      <w:proofErr w:type="gramStart"/>
      <w:r w:rsidRPr="000923CD">
        <w:rPr>
          <w:rFonts w:eastAsiaTheme="minorEastAsia"/>
          <w:sz w:val="22"/>
          <w:szCs w:val="22"/>
        </w:rPr>
        <w:t>is speculated</w:t>
      </w:r>
      <w:proofErr w:type="gramEnd"/>
      <w:r w:rsidRPr="000923CD">
        <w:rPr>
          <w:rFonts w:eastAsiaTheme="minorEastAsia"/>
          <w:sz w:val="22"/>
          <w:szCs w:val="22"/>
        </w:rPr>
        <w:t xml:space="preserve"> at (46 employees x $8,600): $395,600. </w:t>
      </w:r>
    </w:p>
    <w:p w:rsidRPr="000923CD" w:rsidR="28C70CA9" w:rsidP="7EF1B1C7" w:rsidRDefault="290C750A" w14:paraId="5D7B140E" w14:textId="1FBD086D">
      <w:pPr>
        <w:pStyle w:val="Heading5"/>
        <w:spacing w:before="240" w:after="80"/>
        <w:rPr>
          <w:color w:val="666666"/>
          <w:sz w:val="22"/>
          <w:szCs w:val="22"/>
        </w:rPr>
      </w:pPr>
      <w:r w:rsidRPr="000923CD">
        <w:rPr>
          <w:color w:val="666666"/>
          <w:sz w:val="22"/>
          <w:szCs w:val="22"/>
          <w:u w:val="single"/>
          <w:lang w:val="en"/>
        </w:rPr>
        <w:t>Physical Barrier Removal</w:t>
      </w:r>
      <w:r w:rsidRPr="000923CD">
        <w:rPr>
          <w:color w:val="000000" w:themeColor="text1"/>
          <w:sz w:val="22"/>
          <w:szCs w:val="22"/>
          <w:vertAlign w:val="superscript"/>
          <w:lang w:val="en"/>
        </w:rPr>
        <w:t>6</w:t>
      </w:r>
    </w:p>
    <w:p w:rsidRPr="000923CD" w:rsidR="28C70CA9" w:rsidP="7EF1B1C7" w:rsidRDefault="290C750A" w14:paraId="30EE9F45" w14:textId="64C4CDB8">
      <w:pPr>
        <w:rPr>
          <w:rFonts w:eastAsiaTheme="minorEastAsia"/>
          <w:sz w:val="22"/>
          <w:szCs w:val="22"/>
        </w:rPr>
      </w:pPr>
      <w:r w:rsidRPr="000923CD">
        <w:rPr>
          <w:rFonts w:eastAsiaTheme="minorEastAsia"/>
          <w:sz w:val="22"/>
          <w:szCs w:val="22"/>
        </w:rPr>
        <w:t>FP&amp;M data notes that between 2018 - 2022 an average of $300,000</w:t>
      </w:r>
      <w:r w:rsidRPr="000923CD">
        <w:rPr>
          <w:rFonts w:eastAsiaTheme="minorEastAsia"/>
          <w:sz w:val="22"/>
          <w:szCs w:val="22"/>
          <w:vertAlign w:val="superscript"/>
        </w:rPr>
        <w:t>7</w:t>
      </w:r>
      <w:r w:rsidRPr="000923CD">
        <w:rPr>
          <w:rFonts w:eastAsiaTheme="minorEastAsia"/>
          <w:sz w:val="22"/>
          <w:szCs w:val="22"/>
        </w:rPr>
        <w:t xml:space="preserve"> </w:t>
      </w:r>
      <w:proofErr w:type="gramStart"/>
      <w:r w:rsidRPr="000923CD">
        <w:rPr>
          <w:rFonts w:eastAsiaTheme="minorEastAsia"/>
          <w:sz w:val="22"/>
          <w:szCs w:val="22"/>
        </w:rPr>
        <w:t>was spent</w:t>
      </w:r>
      <w:proofErr w:type="gramEnd"/>
      <w:r w:rsidRPr="000923CD">
        <w:rPr>
          <w:rFonts w:eastAsiaTheme="minorEastAsia"/>
          <w:sz w:val="22"/>
          <w:szCs w:val="22"/>
        </w:rPr>
        <w:t xml:space="preserve"> per year on physical barrier removal accommodations for employees and students and 80% of these projects are for employees. Thus, a projected annual average cost for employees amounts to (80% x $300,000): $240,000. </w:t>
      </w:r>
    </w:p>
    <w:p w:rsidRPr="000923CD" w:rsidR="28C70CA9" w:rsidP="7EF1B1C7" w:rsidRDefault="290C750A" w14:paraId="0885117C" w14:textId="3C8083C7">
      <w:pPr>
        <w:pStyle w:val="Heading5"/>
        <w:spacing w:before="240" w:after="80"/>
        <w:rPr>
          <w:color w:val="666666"/>
          <w:sz w:val="22"/>
          <w:szCs w:val="22"/>
        </w:rPr>
      </w:pPr>
      <w:r w:rsidRPr="000923CD">
        <w:rPr>
          <w:color w:val="666666"/>
          <w:sz w:val="22"/>
          <w:szCs w:val="22"/>
          <w:u w:val="single"/>
          <w:lang w:val="en"/>
        </w:rPr>
        <w:t>Other Accommodations</w:t>
      </w:r>
    </w:p>
    <w:p w:rsidRPr="000923CD" w:rsidR="28C70CA9" w:rsidP="7EF1B1C7" w:rsidRDefault="290C750A" w14:paraId="0489FE1A" w14:textId="20394BD9">
      <w:pPr>
        <w:rPr>
          <w:rFonts w:eastAsiaTheme="minorEastAsia"/>
          <w:sz w:val="22"/>
          <w:szCs w:val="22"/>
        </w:rPr>
      </w:pPr>
      <w:r w:rsidRPr="000923CD">
        <w:rPr>
          <w:rFonts w:eastAsiaTheme="minorEastAsia"/>
          <w:sz w:val="22"/>
          <w:szCs w:val="22"/>
        </w:rPr>
        <w:t>Other costly accommodations include ergonomic assessments,</w:t>
      </w:r>
      <w:proofErr w:type="gramStart"/>
      <w:r w:rsidRPr="000923CD">
        <w:rPr>
          <w:rFonts w:eastAsiaTheme="minorEastAsia"/>
          <w:sz w:val="22"/>
          <w:szCs w:val="22"/>
          <w:vertAlign w:val="superscript"/>
        </w:rPr>
        <w:t>8</w:t>
      </w:r>
      <w:proofErr w:type="gramEnd"/>
      <w:r w:rsidRPr="000923CD">
        <w:rPr>
          <w:rFonts w:eastAsiaTheme="minorEastAsia"/>
          <w:sz w:val="22"/>
          <w:szCs w:val="22"/>
        </w:rPr>
        <w:t xml:space="preserve"> air purifiers, </w:t>
      </w:r>
      <w:proofErr w:type="gramStart"/>
      <w:r w:rsidRPr="000923CD">
        <w:rPr>
          <w:rFonts w:eastAsiaTheme="minorEastAsia"/>
          <w:sz w:val="22"/>
          <w:szCs w:val="22"/>
        </w:rPr>
        <w:t>assistive  technology</w:t>
      </w:r>
      <w:proofErr w:type="gramEnd"/>
      <w:r w:rsidRPr="000923CD">
        <w:rPr>
          <w:rFonts w:eastAsiaTheme="minorEastAsia"/>
          <w:sz w:val="22"/>
          <w:szCs w:val="22"/>
        </w:rPr>
        <w:t xml:space="preserve"> assessments, and other worksite assessments. Data indicates around $3,000 </w:t>
      </w:r>
      <w:proofErr w:type="gramStart"/>
      <w:r w:rsidRPr="000923CD">
        <w:rPr>
          <w:rFonts w:eastAsiaTheme="minorEastAsia"/>
          <w:sz w:val="22"/>
          <w:szCs w:val="22"/>
        </w:rPr>
        <w:t>are spent</w:t>
      </w:r>
      <w:proofErr w:type="gramEnd"/>
      <w:r w:rsidRPr="000923CD">
        <w:rPr>
          <w:rFonts w:eastAsiaTheme="minorEastAsia"/>
          <w:sz w:val="22"/>
          <w:szCs w:val="22"/>
        </w:rPr>
        <w:t xml:space="preserve"> on a worksite evaluation. A best guess is that around </w:t>
      </w:r>
      <w:proofErr w:type="gramStart"/>
      <w:r w:rsidRPr="000923CD">
        <w:rPr>
          <w:rFonts w:eastAsiaTheme="minorEastAsia"/>
          <w:sz w:val="22"/>
          <w:szCs w:val="22"/>
        </w:rPr>
        <w:t>20</w:t>
      </w:r>
      <w:proofErr w:type="gramEnd"/>
      <w:r w:rsidRPr="000923CD">
        <w:rPr>
          <w:rFonts w:eastAsiaTheme="minorEastAsia"/>
          <w:sz w:val="22"/>
          <w:szCs w:val="22"/>
        </w:rPr>
        <w:t xml:space="preserve"> employees </w:t>
      </w:r>
      <w:proofErr w:type="gramStart"/>
      <w:r w:rsidRPr="000923CD">
        <w:rPr>
          <w:rFonts w:eastAsiaTheme="minorEastAsia"/>
          <w:sz w:val="22"/>
          <w:szCs w:val="22"/>
        </w:rPr>
        <w:t>are approved</w:t>
      </w:r>
      <w:proofErr w:type="gramEnd"/>
      <w:r w:rsidRPr="000923CD">
        <w:rPr>
          <w:rFonts w:eastAsiaTheme="minorEastAsia"/>
          <w:sz w:val="22"/>
          <w:szCs w:val="22"/>
        </w:rPr>
        <w:t xml:space="preserve"> for an evaluation per year resulting in an annual total of (20 employees x $3,000): $60,000. </w:t>
      </w:r>
    </w:p>
    <w:p w:rsidRPr="000923CD" w:rsidR="28C70CA9" w:rsidP="7EF1B1C7" w:rsidRDefault="290C750A" w14:paraId="3C87852D" w14:textId="1B575E0F">
      <w:pPr>
        <w:pStyle w:val="Heading3"/>
        <w:spacing w:before="320"/>
        <w:rPr>
          <w:color w:val="434343"/>
        </w:rPr>
      </w:pPr>
      <w:r w:rsidRPr="000923CD">
        <w:rPr>
          <w:i/>
          <w:iCs/>
          <w:color w:val="434343"/>
          <w:lang w:val="en"/>
        </w:rPr>
        <w:t>Projected Cost for Program Participants</w:t>
      </w:r>
    </w:p>
    <w:p w:rsidRPr="000923CD" w:rsidR="28C70CA9" w:rsidP="7EF1B1C7" w:rsidRDefault="290C750A" w14:paraId="53FAA855" w14:textId="003798DB">
      <w:pPr>
        <w:rPr>
          <w:rFonts w:eastAsiaTheme="minorEastAsia"/>
          <w:sz w:val="22"/>
          <w:szCs w:val="22"/>
        </w:rPr>
      </w:pPr>
      <w:r w:rsidRPr="000923CD">
        <w:rPr>
          <w:rFonts w:eastAsiaTheme="minorEastAsia"/>
          <w:sz w:val="22"/>
          <w:szCs w:val="22"/>
          <w:lang w:val="en"/>
        </w:rPr>
        <w:t xml:space="preserve">Accommodation costs for program participants (including visitors) are unknown because they are determined at the hosting unit level. To provide a possible cost, we assume the number of program participants by taking 15% of the McBurney Center student total of 4,515 and infer that the accommodation cost for each participant is the same as students at $134.00 per person for an annual total of (677 program participants x $134.00): $90,700. </w:t>
      </w:r>
    </w:p>
    <w:p w:rsidRPr="000923CD" w:rsidR="28C70CA9" w:rsidP="7EF1B1C7" w:rsidRDefault="290C750A" w14:paraId="46F8933E" w14:textId="0F95AB34">
      <w:pPr>
        <w:pStyle w:val="Heading2"/>
        <w:spacing w:before="360" w:after="120"/>
        <w:rPr>
          <w:rFonts w:asciiTheme="minorHAnsi" w:hAnsiTheme="minorHAnsi"/>
          <w:sz w:val="28"/>
          <w:szCs w:val="28"/>
        </w:rPr>
      </w:pPr>
      <w:r w:rsidRPr="000923CD">
        <w:rPr>
          <w:rFonts w:asciiTheme="minorHAnsi" w:hAnsiTheme="minorHAnsi"/>
          <w:sz w:val="28"/>
          <w:szCs w:val="28"/>
          <w:lang w:val="en"/>
        </w:rPr>
        <w:t>Estimated Amount for Central Fund</w:t>
      </w:r>
    </w:p>
    <w:p w:rsidRPr="000923CD" w:rsidR="28C70CA9" w:rsidP="7EF1B1C7" w:rsidRDefault="290C750A" w14:paraId="1412ACBC" w14:textId="68AF2DD3">
      <w:pPr>
        <w:rPr>
          <w:rFonts w:eastAsiaTheme="minorEastAsia"/>
          <w:sz w:val="22"/>
          <w:szCs w:val="22"/>
        </w:rPr>
      </w:pPr>
      <w:r w:rsidRPr="000923CD">
        <w:rPr>
          <w:rFonts w:eastAsiaTheme="minorEastAsia"/>
          <w:sz w:val="22"/>
          <w:szCs w:val="22"/>
        </w:rPr>
        <w:t xml:space="preserve">Based on the projections above, it </w:t>
      </w:r>
      <w:proofErr w:type="gramStart"/>
      <w:r w:rsidRPr="000923CD">
        <w:rPr>
          <w:rFonts w:eastAsiaTheme="minorEastAsia"/>
          <w:sz w:val="22"/>
          <w:szCs w:val="22"/>
        </w:rPr>
        <w:t>is estimated</w:t>
      </w:r>
      <w:proofErr w:type="gramEnd"/>
      <w:r w:rsidRPr="000923CD">
        <w:rPr>
          <w:rFonts w:eastAsiaTheme="minorEastAsia"/>
          <w:sz w:val="22"/>
          <w:szCs w:val="22"/>
        </w:rPr>
        <w:t xml:space="preserve"> a total of $1,030,700.00 </w:t>
      </w:r>
      <w:proofErr w:type="gramStart"/>
      <w:r w:rsidRPr="000923CD">
        <w:rPr>
          <w:rFonts w:eastAsiaTheme="minorEastAsia"/>
          <w:sz w:val="22"/>
          <w:szCs w:val="22"/>
        </w:rPr>
        <w:t>is needed</w:t>
      </w:r>
      <w:proofErr w:type="gramEnd"/>
      <w:r w:rsidRPr="000923CD">
        <w:rPr>
          <w:rFonts w:eastAsiaTheme="minorEastAsia"/>
          <w:sz w:val="22"/>
          <w:szCs w:val="22"/>
        </w:rPr>
        <w:t xml:space="preserve"> to centrally fund all employment and program participant accommodations. The following table provides all the data used from the discussion to arrive at this total:    </w:t>
      </w:r>
    </w:p>
    <w:p w:rsidRPr="000923CD" w:rsidR="28C70CA9" w:rsidP="7EF1B1C7" w:rsidRDefault="28C70CA9" w14:paraId="1BCAD15F" w14:textId="3680B5FC">
      <w:pPr>
        <w:spacing w:after="0"/>
        <w:rPr>
          <w:rFonts w:eastAsiaTheme="minorEastAsia"/>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020" w:firstRow="1" w:lastRow="0" w:firstColumn="0" w:lastColumn="0" w:noHBand="0" w:noVBand="0"/>
      </w:tblPr>
      <w:tblGrid>
        <w:gridCol w:w="4530"/>
        <w:gridCol w:w="4755"/>
      </w:tblGrid>
      <w:tr w:rsidRPr="00FC48D4" w:rsidR="7EF1B1C7" w:rsidTr="002004A5" w14:paraId="382C000C" w14:textId="77777777">
        <w:trPr>
          <w:trHeight w:val="675"/>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C48D4" w:rsidR="7EF1B1C7" w:rsidP="7EF1B1C7" w:rsidRDefault="7EF1B1C7" w14:paraId="14CFC7BD" w14:textId="5BD67100">
            <w:pPr>
              <w:pStyle w:val="Heading3"/>
              <w:spacing w:before="320"/>
              <w:jc w:val="center"/>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Cost Amount</w:t>
            </w:r>
          </w:p>
        </w:tc>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C48D4" w:rsidR="7EF1B1C7" w:rsidP="7EF1B1C7" w:rsidRDefault="7EF1B1C7" w14:paraId="2D04E6F5" w14:textId="2AEB2557">
            <w:pPr>
              <w:pStyle w:val="Heading3"/>
              <w:spacing w:before="320"/>
              <w:jc w:val="center"/>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Further Information</w:t>
            </w:r>
          </w:p>
        </w:tc>
      </w:tr>
      <w:tr w:rsidRPr="00FC48D4" w:rsidR="7EF1B1C7" w:rsidTr="002004A5" w14:paraId="03B1C34C" w14:textId="77777777">
        <w:trPr>
          <w:trHeight w:val="1365"/>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4B132AD8" w14:textId="5CA2730F">
            <w:pPr>
              <w:pStyle w:val="Heading3"/>
              <w:keepNext w:val="0"/>
              <w:keepLines w:val="0"/>
              <w:spacing w:before="0" w:after="0"/>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$245,000 (Employee accommodations) </w:t>
            </w:r>
          </w:p>
        </w:tc>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2A32D752" w14:textId="27AC6CE1">
            <w:pPr>
              <w:pStyle w:val="Heading3"/>
              <w:spacing w:before="320"/>
              <w:rPr>
                <w:rFonts w:eastAsiaTheme="minorEastAsia" w:cstheme="minorBidi"/>
                <w:color w:val="000000" w:themeColor="text1"/>
                <w:sz w:val="20"/>
                <w:szCs w:val="20"/>
              </w:rPr>
            </w:pPr>
            <w:r w:rsidRPr="00FC48D4">
              <w:rPr>
                <w:rFonts w:eastAsiaTheme="minorEastAsia" w:cstheme="minorBidi"/>
                <w:color w:val="000000" w:themeColor="text1"/>
                <w:sz w:val="20"/>
                <w:szCs w:val="20"/>
              </w:rPr>
              <w:t xml:space="preserve">Using Model 2 as it is the highest projected cost. This amount does not include travel, physical barrier removal, or worksite assessment </w:t>
            </w:r>
            <w:proofErr w:type="gramStart"/>
            <w:r w:rsidRPr="00FC48D4">
              <w:rPr>
                <w:rFonts w:eastAsiaTheme="minorEastAsia" w:cstheme="minorBidi"/>
                <w:color w:val="000000" w:themeColor="text1"/>
                <w:sz w:val="20"/>
                <w:szCs w:val="20"/>
              </w:rPr>
              <w:t>accommodations</w:t>
            </w:r>
            <w:proofErr w:type="gramEnd"/>
            <w:r w:rsidRPr="00FC48D4">
              <w:rPr>
                <w:rFonts w:eastAsiaTheme="minorEastAsia" w:cstheme="minorBidi"/>
                <w:color w:val="000000" w:themeColor="text1"/>
                <w:sz w:val="20"/>
                <w:szCs w:val="20"/>
              </w:rPr>
              <w:t xml:space="preserve">. </w:t>
            </w:r>
          </w:p>
        </w:tc>
      </w:tr>
      <w:tr w:rsidRPr="00FC48D4" w:rsidR="7EF1B1C7" w:rsidTr="002004A5" w14:paraId="152982E4" w14:textId="77777777">
        <w:trPr>
          <w:trHeight w:val="600"/>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4003C19E" w14:textId="6D9404EA">
            <w:pPr>
              <w:pStyle w:val="Heading3"/>
              <w:spacing w:before="320"/>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$395,600 (Travel accommodations) </w:t>
            </w:r>
          </w:p>
        </w:tc>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5CF54DEE" w14:textId="54E69C72">
            <w:pPr>
              <w:keepNext/>
              <w:keepLines/>
              <w:spacing w:before="320" w:after="80"/>
              <w:rPr>
                <w:rFonts w:eastAsiaTheme="minorEastAsia"/>
                <w:color w:val="000000" w:themeColor="text1"/>
                <w:sz w:val="20"/>
                <w:szCs w:val="20"/>
              </w:rPr>
            </w:pPr>
          </w:p>
        </w:tc>
      </w:tr>
      <w:tr w:rsidRPr="00FC48D4" w:rsidR="7EF1B1C7" w:rsidTr="002004A5" w14:paraId="5830285A" w14:textId="77777777">
        <w:trPr>
          <w:trHeight w:val="675"/>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005553D7" w14:textId="4FC24A02">
            <w:pPr>
              <w:pStyle w:val="Heading3"/>
              <w:spacing w:before="320"/>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$240,000 (Barrier removal) </w:t>
            </w:r>
          </w:p>
        </w:tc>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40C6C967" w14:textId="7A743511">
            <w:pPr>
              <w:keepNext/>
              <w:keepLines/>
              <w:spacing w:before="320" w:after="80"/>
              <w:rPr>
                <w:rFonts w:eastAsiaTheme="minorEastAsia"/>
                <w:color w:val="000000" w:themeColor="text1"/>
                <w:sz w:val="20"/>
                <w:szCs w:val="20"/>
              </w:rPr>
            </w:pPr>
          </w:p>
        </w:tc>
      </w:tr>
      <w:tr w:rsidRPr="00FC48D4" w:rsidR="7EF1B1C7" w:rsidTr="002004A5" w14:paraId="5136E372" w14:textId="77777777">
        <w:trPr>
          <w:trHeight w:val="765"/>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65F0C2A6" w14:textId="6A5F8CAC">
            <w:pPr>
              <w:pStyle w:val="Heading3"/>
              <w:spacing w:before="320"/>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$60,000 (Other accommodations) </w:t>
            </w:r>
          </w:p>
        </w:tc>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1ED8322F" w14:textId="0792F60A">
            <w:pPr>
              <w:rPr>
                <w:rFonts w:eastAsiaTheme="minorEastAsia"/>
                <w:sz w:val="20"/>
                <w:szCs w:val="20"/>
              </w:rPr>
            </w:pPr>
            <w:proofErr w:type="gramStart"/>
            <w:r w:rsidRPr="00FC48D4">
              <w:rPr>
                <w:rFonts w:eastAsiaTheme="minorEastAsia"/>
                <w:sz w:val="20"/>
                <w:szCs w:val="20"/>
              </w:rPr>
              <w:t>Ergonomic</w:t>
            </w:r>
            <w:proofErr w:type="gramEnd"/>
            <w:r w:rsidRPr="00FC48D4">
              <w:rPr>
                <w:rFonts w:eastAsiaTheme="minorEastAsia"/>
                <w:sz w:val="20"/>
                <w:szCs w:val="20"/>
              </w:rPr>
              <w:t xml:space="preserve">, </w:t>
            </w:r>
            <w:proofErr w:type="gramStart"/>
            <w:r w:rsidRPr="00FC48D4">
              <w:rPr>
                <w:rFonts w:eastAsiaTheme="minorEastAsia"/>
                <w:sz w:val="20"/>
                <w:szCs w:val="20"/>
              </w:rPr>
              <w:t>worksite</w:t>
            </w:r>
            <w:proofErr w:type="gramEnd"/>
            <w:r w:rsidRPr="00FC48D4">
              <w:rPr>
                <w:rFonts w:eastAsiaTheme="minorEastAsia"/>
                <w:sz w:val="20"/>
                <w:szCs w:val="20"/>
              </w:rPr>
              <w:t>, and other assessments.</w:t>
            </w:r>
          </w:p>
        </w:tc>
      </w:tr>
      <w:tr w:rsidRPr="00FC48D4" w:rsidR="7EF1B1C7" w:rsidTr="002004A5" w14:paraId="2AC6A412" w14:textId="77777777">
        <w:trPr>
          <w:trHeight w:val="810"/>
        </w:trPr>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67C40B79" w14:textId="1A265498">
            <w:pPr>
              <w:pStyle w:val="Heading3"/>
              <w:spacing w:before="320"/>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$90,700 (Program participant accommodations) </w:t>
            </w:r>
          </w:p>
        </w:tc>
        <w:tc>
          <w:tcPr>
            <w:tcW w:w="47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43DA4E1C" w14:textId="2213CD50">
            <w:pPr>
              <w:pStyle w:val="Heading3"/>
              <w:spacing w:before="320"/>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This is highly speculative as there is no data. </w:t>
            </w:r>
          </w:p>
        </w:tc>
      </w:tr>
      <w:tr w:rsidRPr="00FC48D4" w:rsidR="7EF1B1C7" w:rsidTr="002004A5" w14:paraId="1D370B41" w14:textId="77777777">
        <w:trPr>
          <w:trHeight w:val="645"/>
        </w:trPr>
        <w:tc>
          <w:tcPr>
            <w:tcW w:w="92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vAlign w:val="center"/>
          </w:tcPr>
          <w:p w:rsidRPr="00FC48D4" w:rsidR="7EF1B1C7" w:rsidP="7EF1B1C7" w:rsidRDefault="7EF1B1C7" w14:paraId="2CB26BE2" w14:textId="156F09B1">
            <w:pPr>
              <w:pStyle w:val="Heading3"/>
              <w:spacing w:before="320"/>
              <w:jc w:val="center"/>
              <w:rPr>
                <w:rFonts w:eastAsiaTheme="minorEastAsia" w:cstheme="minorBidi"/>
                <w:color w:val="000000" w:themeColor="text1"/>
                <w:sz w:val="20"/>
                <w:szCs w:val="20"/>
              </w:rPr>
            </w:pPr>
            <w:r w:rsidRPr="00FC48D4">
              <w:rPr>
                <w:rFonts w:eastAsiaTheme="minorEastAsia" w:cstheme="minorBidi"/>
                <w:color w:val="000000" w:themeColor="text1"/>
                <w:sz w:val="20"/>
                <w:szCs w:val="20"/>
                <w:lang w:val="en"/>
              </w:rPr>
              <w:t xml:space="preserve">CENTRAL FUND AMOUNT: $1,030,700.00 </w:t>
            </w:r>
          </w:p>
        </w:tc>
      </w:tr>
    </w:tbl>
    <w:p w:rsidRPr="000923CD" w:rsidR="28C70CA9" w:rsidP="7EF1B1C7" w:rsidRDefault="290C750A" w14:paraId="3576CF95" w14:textId="490A8C0F">
      <w:pPr>
        <w:pStyle w:val="Heading2"/>
        <w:spacing w:before="360" w:after="120"/>
        <w:rPr>
          <w:rFonts w:asciiTheme="minorHAnsi" w:hAnsiTheme="minorHAnsi"/>
          <w:sz w:val="28"/>
          <w:szCs w:val="28"/>
        </w:rPr>
      </w:pPr>
      <w:r w:rsidRPr="000923CD">
        <w:rPr>
          <w:rFonts w:asciiTheme="minorHAnsi" w:hAnsiTheme="minorHAnsi"/>
          <w:sz w:val="28"/>
          <w:szCs w:val="28"/>
          <w:lang w:val="en"/>
        </w:rPr>
        <w:t>Projected Annual Fund Increase</w:t>
      </w:r>
    </w:p>
    <w:p w:rsidRPr="000923CD" w:rsidR="28C70CA9" w:rsidP="7EF1B1C7" w:rsidRDefault="290C750A" w14:paraId="4C32AF30" w14:textId="26A41552">
      <w:pPr>
        <w:rPr>
          <w:rFonts w:eastAsiaTheme="minorEastAsia"/>
          <w:sz w:val="22"/>
          <w:szCs w:val="22"/>
        </w:rPr>
      </w:pPr>
      <w:r w:rsidRPr="000923CD">
        <w:rPr>
          <w:rFonts w:eastAsiaTheme="minorEastAsia"/>
          <w:sz w:val="22"/>
          <w:szCs w:val="22"/>
        </w:rPr>
        <w:t xml:space="preserve">The number of individuals receiving accommodations from the McBurney Disability Resource Center and Employee Disability Resources Office has increased over the past few years. A </w:t>
      </w:r>
      <w:r w:rsidRPr="000923CD">
        <w:rPr>
          <w:rFonts w:eastAsiaTheme="minorEastAsia"/>
          <w:sz w:val="22"/>
          <w:szCs w:val="22"/>
        </w:rPr>
        <w:t xml:space="preserve">conservative estimation indicates that the Employee Disability Resource Office experiences a 15% increase each year. Thus, it </w:t>
      </w:r>
      <w:proofErr w:type="gramStart"/>
      <w:r w:rsidRPr="000923CD">
        <w:rPr>
          <w:rFonts w:eastAsiaTheme="minorEastAsia"/>
          <w:sz w:val="22"/>
          <w:szCs w:val="22"/>
        </w:rPr>
        <w:t>is projected</w:t>
      </w:r>
      <w:proofErr w:type="gramEnd"/>
      <w:r w:rsidRPr="000923CD">
        <w:rPr>
          <w:rFonts w:eastAsiaTheme="minorEastAsia"/>
          <w:sz w:val="22"/>
          <w:szCs w:val="22"/>
        </w:rPr>
        <w:t xml:space="preserve"> that the central fund amount would, at a minimum, need to increase annually by (15% x $1,030,700): $154,600.00. This amount does not factor in an increase in the number of program participants needing accommodations. </w:t>
      </w:r>
    </w:p>
    <w:p w:rsidRPr="000923CD" w:rsidR="28C70CA9" w:rsidP="7EF1B1C7" w:rsidRDefault="290C750A" w14:paraId="00D8AF3D" w14:textId="333942B9">
      <w:pPr>
        <w:pStyle w:val="Heading2"/>
        <w:spacing w:before="360" w:after="120"/>
        <w:rPr>
          <w:rFonts w:asciiTheme="minorHAnsi" w:hAnsiTheme="minorHAnsi"/>
          <w:sz w:val="28"/>
          <w:szCs w:val="28"/>
        </w:rPr>
      </w:pPr>
      <w:r w:rsidRPr="000923CD">
        <w:rPr>
          <w:rFonts w:asciiTheme="minorHAnsi" w:hAnsiTheme="minorHAnsi"/>
          <w:sz w:val="28"/>
          <w:szCs w:val="28"/>
          <w:lang w:val="en"/>
        </w:rPr>
        <w:t>Project Planning</w:t>
      </w:r>
    </w:p>
    <w:p w:rsidRPr="000923CD" w:rsidR="28C70CA9" w:rsidP="7EF1B1C7" w:rsidRDefault="290C750A" w14:paraId="712CDC6E" w14:textId="77BFA7FD">
      <w:pPr>
        <w:rPr>
          <w:rFonts w:eastAsiaTheme="minorEastAsia"/>
          <w:sz w:val="22"/>
          <w:szCs w:val="22"/>
        </w:rPr>
      </w:pPr>
      <w:proofErr w:type="gramStart"/>
      <w:r w:rsidRPr="000923CD">
        <w:rPr>
          <w:rFonts w:eastAsiaTheme="minorEastAsia"/>
          <w:sz w:val="22"/>
          <w:szCs w:val="22"/>
        </w:rPr>
        <w:t>Possible members</w:t>
      </w:r>
      <w:proofErr w:type="gramEnd"/>
      <w:r w:rsidRPr="000923CD">
        <w:rPr>
          <w:rFonts w:eastAsiaTheme="minorEastAsia"/>
          <w:sz w:val="22"/>
          <w:szCs w:val="22"/>
        </w:rPr>
        <w:t xml:space="preserve"> of a cross-campus team have </w:t>
      </w:r>
      <w:proofErr w:type="gramStart"/>
      <w:r w:rsidRPr="000923CD">
        <w:rPr>
          <w:rFonts w:eastAsiaTheme="minorEastAsia"/>
          <w:sz w:val="22"/>
          <w:szCs w:val="22"/>
        </w:rPr>
        <w:t>been identified</w:t>
      </w:r>
      <w:proofErr w:type="gramEnd"/>
      <w:r w:rsidRPr="000923CD">
        <w:rPr>
          <w:rFonts w:eastAsiaTheme="minorEastAsia"/>
          <w:sz w:val="22"/>
          <w:szCs w:val="22"/>
        </w:rPr>
        <w:t xml:space="preserve"> to develop the procedures, processes, resources, and training necessary for a central fund, if this proposal </w:t>
      </w:r>
      <w:proofErr w:type="gramStart"/>
      <w:r w:rsidRPr="000923CD">
        <w:rPr>
          <w:rFonts w:eastAsiaTheme="minorEastAsia"/>
          <w:sz w:val="22"/>
          <w:szCs w:val="22"/>
        </w:rPr>
        <w:t>is approved</w:t>
      </w:r>
      <w:proofErr w:type="gramEnd"/>
      <w:r w:rsidRPr="000923CD">
        <w:rPr>
          <w:rFonts w:eastAsiaTheme="minorEastAsia"/>
          <w:sz w:val="22"/>
          <w:szCs w:val="22"/>
        </w:rPr>
        <w:t xml:space="preserve">. This team would comprise Divisional Disability Representatives, divisional purchasing and finance specialists, Division of Business Services purchasing representative, Madison Budget Office representative, members of the ADA Steering Committee, Employee Disability Resources Office, and the McBurney Disability Resource Center. A critical objective of this team, in addition to establishing processes and procedures, will be to ensure that allocations made from this fund are only for </w:t>
      </w:r>
      <w:proofErr w:type="gramStart"/>
      <w:r w:rsidRPr="000923CD">
        <w:rPr>
          <w:rFonts w:eastAsiaTheme="minorEastAsia"/>
          <w:sz w:val="22"/>
          <w:szCs w:val="22"/>
        </w:rPr>
        <w:t>accommodations</w:t>
      </w:r>
      <w:proofErr w:type="gramEnd"/>
      <w:r w:rsidRPr="000923CD">
        <w:rPr>
          <w:rFonts w:eastAsiaTheme="minorEastAsia"/>
          <w:sz w:val="22"/>
          <w:szCs w:val="22"/>
        </w:rPr>
        <w:t xml:space="preserve"> approved and procured by the school, college, division, or administrative unit, and they have </w:t>
      </w:r>
      <w:proofErr w:type="gramStart"/>
      <w:r w:rsidRPr="000923CD">
        <w:rPr>
          <w:rFonts w:eastAsiaTheme="minorEastAsia"/>
          <w:sz w:val="22"/>
          <w:szCs w:val="22"/>
        </w:rPr>
        <w:t>been verified</w:t>
      </w:r>
      <w:proofErr w:type="gramEnd"/>
      <w:r w:rsidRPr="000923CD">
        <w:rPr>
          <w:rFonts w:eastAsiaTheme="minorEastAsia"/>
          <w:sz w:val="22"/>
          <w:szCs w:val="22"/>
        </w:rPr>
        <w:t xml:space="preserve"> as required under disability laws. </w:t>
      </w:r>
    </w:p>
    <w:p w:rsidRPr="000923CD" w:rsidR="28C70CA9" w:rsidP="7EF1B1C7" w:rsidRDefault="290C750A" w14:paraId="6EE8F99F" w14:textId="4BC4E918">
      <w:pPr>
        <w:pStyle w:val="Heading2"/>
        <w:spacing w:before="360" w:after="120"/>
        <w:rPr>
          <w:rFonts w:asciiTheme="minorHAnsi" w:hAnsiTheme="minorHAnsi"/>
          <w:sz w:val="28"/>
          <w:szCs w:val="28"/>
        </w:rPr>
      </w:pPr>
      <w:r w:rsidRPr="000923CD">
        <w:rPr>
          <w:rFonts w:asciiTheme="minorHAnsi" w:hAnsiTheme="minorHAnsi"/>
          <w:sz w:val="28"/>
          <w:szCs w:val="28"/>
          <w:lang w:val="en"/>
        </w:rPr>
        <w:t>Summary</w:t>
      </w:r>
    </w:p>
    <w:p w:rsidRPr="000923CD" w:rsidR="28C70CA9" w:rsidP="7EF1B1C7" w:rsidRDefault="290C750A" w14:paraId="5EECD417" w14:textId="3061F277">
      <w:pPr>
        <w:rPr>
          <w:rFonts w:eastAsiaTheme="minorEastAsia"/>
          <w:sz w:val="22"/>
          <w:szCs w:val="22"/>
        </w:rPr>
      </w:pPr>
      <w:r w:rsidRPr="000923CD">
        <w:rPr>
          <w:rFonts w:eastAsiaTheme="minorEastAsia"/>
          <w:sz w:val="22"/>
          <w:szCs w:val="22"/>
        </w:rPr>
        <w:t xml:space="preserve">The ADA Steering Committee seeks to shift the university’s current funding of </w:t>
      </w:r>
      <w:proofErr w:type="gramStart"/>
      <w:r w:rsidRPr="000923CD">
        <w:rPr>
          <w:rFonts w:eastAsiaTheme="minorEastAsia"/>
          <w:sz w:val="22"/>
          <w:szCs w:val="22"/>
        </w:rPr>
        <w:t>accommodations</w:t>
      </w:r>
      <w:proofErr w:type="gramEnd"/>
      <w:r w:rsidRPr="000923CD">
        <w:rPr>
          <w:rFonts w:eastAsiaTheme="minorEastAsia"/>
          <w:sz w:val="22"/>
          <w:szCs w:val="22"/>
        </w:rPr>
        <w:t xml:space="preserve"> from a multimodal approach to a fully centralized model. We have risks due to our current model, and we believe we can mitigate them, enhance inclusion and diversity, and reduce </w:t>
      </w:r>
      <w:proofErr w:type="gramStart"/>
      <w:r w:rsidRPr="000923CD">
        <w:rPr>
          <w:rFonts w:eastAsiaTheme="minorEastAsia"/>
          <w:sz w:val="22"/>
          <w:szCs w:val="22"/>
        </w:rPr>
        <w:t>some</w:t>
      </w:r>
      <w:proofErr w:type="gramEnd"/>
      <w:r w:rsidRPr="000923CD">
        <w:rPr>
          <w:rFonts w:eastAsiaTheme="minorEastAsia"/>
          <w:sz w:val="22"/>
          <w:szCs w:val="22"/>
        </w:rPr>
        <w:t xml:space="preserve"> administrative costs and inefficiencies by shifting to a fully centralized model. The estimated allocation for a central fund for employees and program participants is $1,030,700.</w:t>
      </w:r>
    </w:p>
    <w:p w:rsidRPr="000923CD" w:rsidR="28C70CA9" w:rsidP="7EF1B1C7" w:rsidRDefault="290C750A" w14:paraId="1CC9A3B3" w14:textId="7CACF0AE">
      <w:pPr>
        <w:pStyle w:val="Heading2"/>
        <w:spacing w:before="360" w:after="120"/>
        <w:rPr>
          <w:rFonts w:asciiTheme="minorHAnsi" w:hAnsiTheme="minorHAnsi"/>
          <w:sz w:val="28"/>
          <w:szCs w:val="28"/>
        </w:rPr>
      </w:pPr>
      <w:r w:rsidRPr="000923CD">
        <w:rPr>
          <w:rFonts w:asciiTheme="minorHAnsi" w:hAnsiTheme="minorHAnsi"/>
          <w:sz w:val="28"/>
          <w:szCs w:val="28"/>
          <w:lang w:val="en"/>
        </w:rPr>
        <w:t>Project Contact</w:t>
      </w:r>
    </w:p>
    <w:p w:rsidRPr="000923CD" w:rsidR="00E26960" w:rsidP="000923CD" w:rsidRDefault="290C750A" w14:paraId="62D2B8AB" w14:textId="1467EDD5">
      <w:pPr>
        <w:pStyle w:val="ListParagraph"/>
        <w:numPr>
          <w:ilvl w:val="0"/>
          <w:numId w:val="56"/>
        </w:numPr>
        <w:rPr>
          <w:rFonts w:eastAsiaTheme="minorEastAsia"/>
          <w:sz w:val="22"/>
          <w:szCs w:val="22"/>
          <w:lang w:val="en"/>
        </w:rPr>
      </w:pPr>
      <w:r w:rsidRPr="000923CD">
        <w:rPr>
          <w:rFonts w:eastAsiaTheme="minorEastAsia"/>
          <w:sz w:val="22"/>
          <w:szCs w:val="22"/>
          <w:lang w:val="en"/>
        </w:rPr>
        <w:t xml:space="preserve">Ruben Mota, ADA Coordinator: </w:t>
      </w:r>
      <w:hyperlink r:id="rId12">
        <w:r w:rsidRPr="000923CD">
          <w:rPr>
            <w:rStyle w:val="Hyperlink"/>
            <w:rFonts w:eastAsiaTheme="minorEastAsia"/>
            <w:color w:val="1155CC"/>
            <w:sz w:val="22"/>
            <w:szCs w:val="22"/>
            <w:lang w:val="en"/>
          </w:rPr>
          <w:t>ruben.mota@wisc.edu</w:t>
        </w:r>
      </w:hyperlink>
      <w:r w:rsidRPr="000923CD">
        <w:rPr>
          <w:rFonts w:eastAsiaTheme="minorEastAsia"/>
          <w:sz w:val="22"/>
          <w:szCs w:val="22"/>
          <w:lang w:val="en"/>
        </w:rPr>
        <w:t xml:space="preserve"> or (608) 265-4508.</w:t>
      </w:r>
    </w:p>
    <w:p w:rsidR="00E26960" w:rsidRDefault="00E26960" w14:paraId="721BD081" w14:textId="77777777">
      <w:pPr>
        <w:rPr>
          <w:rFonts w:eastAsiaTheme="minorEastAsia"/>
          <w:sz w:val="22"/>
          <w:szCs w:val="22"/>
          <w:lang w:val="en"/>
        </w:rPr>
      </w:pPr>
      <w:r>
        <w:rPr>
          <w:rFonts w:eastAsiaTheme="minorEastAsia"/>
          <w:sz w:val="22"/>
          <w:szCs w:val="22"/>
          <w:lang w:val="en"/>
        </w:rPr>
        <w:br w:type="page"/>
      </w:r>
    </w:p>
    <w:p w:rsidR="28C70CA9" w:rsidP="005E697B" w:rsidRDefault="005E697B" w14:paraId="068AC303" w14:textId="3C81C058">
      <w:pPr>
        <w:pStyle w:val="Heading2"/>
      </w:pPr>
      <w:r>
        <w:t xml:space="preserve">Addendum B: </w:t>
      </w:r>
      <w:r w:rsidR="00D33813">
        <w:t xml:space="preserve">Additional </w:t>
      </w:r>
      <w:r>
        <w:t>Peer Institutions with Neurodivergent Programs and Coordinator Positions</w:t>
      </w:r>
    </w:p>
    <w:p w:rsidRPr="008B59DA" w:rsidR="008B59DA" w:rsidP="008B59DA" w:rsidRDefault="008B59DA" w14:paraId="15CC5DDC" w14:textId="77777777">
      <w:pPr>
        <w:rPr>
          <w:sz w:val="22"/>
          <w:szCs w:val="22"/>
        </w:rPr>
      </w:pPr>
      <w:r w:rsidRPr="008B59DA">
        <w:rPr>
          <w:sz w:val="22"/>
          <w:szCs w:val="22"/>
        </w:rPr>
        <w:t xml:space="preserve">Beyond the Big Ten, the establishment of centrally funded neurodiversity leadership has become a national standard for large public universities. Institutions such as Rowan University, the University of Connecticut, and William &amp; Mary have already transitioned away from decentralized volunteer efforts, establishing fully funded Centers for Neurodiversity and dedicated Coordinator roles. Crucially, </w:t>
      </w:r>
      <w:proofErr w:type="gramStart"/>
      <w:r w:rsidRPr="008B59DA">
        <w:rPr>
          <w:sz w:val="22"/>
          <w:szCs w:val="22"/>
        </w:rPr>
        <w:t>many</w:t>
      </w:r>
      <w:proofErr w:type="gramEnd"/>
      <w:r w:rsidRPr="008B59DA">
        <w:rPr>
          <w:sz w:val="22"/>
          <w:szCs w:val="22"/>
        </w:rPr>
        <w:t xml:space="preserve"> of these universities have positioned these roles within central administrative divisions—such as Diversity, Equity, and Inclusion (DEI) or the Provost’s Office—granting them the campus-wide authority necessary to implement systemic training, improve student retention, and build direct pipelines to corporate employment. </w:t>
      </w:r>
    </w:p>
    <w:p w:rsidRPr="008B59DA" w:rsidR="008B59DA" w:rsidP="008B59DA" w:rsidRDefault="00D33813" w14:paraId="5C396E67" w14:textId="41AA99C8">
      <w:pPr>
        <w:rPr>
          <w:sz w:val="22"/>
          <w:szCs w:val="22"/>
        </w:rPr>
      </w:pPr>
      <w:r w:rsidRPr="00D80F2F">
        <w:rPr>
          <w:sz w:val="22"/>
          <w:szCs w:val="22"/>
        </w:rPr>
        <w:t xml:space="preserve">1. </w:t>
      </w:r>
      <w:r w:rsidRPr="008B59DA" w:rsidR="008B59DA">
        <w:rPr>
          <w:sz w:val="22"/>
          <w:szCs w:val="22"/>
        </w:rPr>
        <w:t>Rowan University (New Jersey) </w:t>
      </w:r>
    </w:p>
    <w:p w:rsidRPr="008B59DA" w:rsidR="008B59DA" w:rsidP="008B59DA" w:rsidRDefault="006F25D4" w14:paraId="224D4913" w14:textId="1F216AA7">
      <w:pPr>
        <w:numPr>
          <w:ilvl w:val="0"/>
          <w:numId w:val="44"/>
        </w:numPr>
        <w:rPr>
          <w:sz w:val="22"/>
          <w:szCs w:val="22"/>
        </w:rPr>
      </w:pPr>
      <w:r w:rsidRPr="00D80F2F">
        <w:rPr>
          <w:sz w:val="22"/>
          <w:szCs w:val="22"/>
        </w:rPr>
        <w:t xml:space="preserve">Structure: </w:t>
      </w:r>
      <w:r w:rsidRPr="008B59DA" w:rsidR="008B59DA">
        <w:rPr>
          <w:sz w:val="22"/>
          <w:szCs w:val="22"/>
        </w:rPr>
        <w:t>Rowan launched its Center for Neurodiversity in 2021. Crucially, they intentionally housed and funded it under their Division of Diversity, Equity, and Inclusion (DEI) rather than their disability accommodations office. </w:t>
      </w:r>
    </w:p>
    <w:p w:rsidRPr="008B59DA" w:rsidR="008B59DA" w:rsidP="008B59DA" w:rsidRDefault="006F25D4" w14:paraId="09F927B6" w14:textId="2A6B167D">
      <w:pPr>
        <w:numPr>
          <w:ilvl w:val="0"/>
          <w:numId w:val="45"/>
        </w:numPr>
        <w:rPr>
          <w:sz w:val="22"/>
          <w:szCs w:val="22"/>
        </w:rPr>
      </w:pPr>
      <w:r w:rsidRPr="00D80F2F">
        <w:rPr>
          <w:sz w:val="22"/>
          <w:szCs w:val="22"/>
        </w:rPr>
        <w:t>Staffing</w:t>
      </w:r>
      <w:r w:rsidRPr="008B59DA" w:rsidR="008B59DA">
        <w:rPr>
          <w:sz w:val="22"/>
          <w:szCs w:val="22"/>
        </w:rPr>
        <w:t xml:space="preserve">: It </w:t>
      </w:r>
      <w:proofErr w:type="gramStart"/>
      <w:r w:rsidRPr="008B59DA" w:rsidR="008B59DA">
        <w:rPr>
          <w:sz w:val="22"/>
          <w:szCs w:val="22"/>
        </w:rPr>
        <w:t>is centrally funded</w:t>
      </w:r>
      <w:proofErr w:type="gramEnd"/>
      <w:r w:rsidRPr="008B59DA" w:rsidR="008B59DA">
        <w:rPr>
          <w:sz w:val="22"/>
          <w:szCs w:val="22"/>
        </w:rPr>
        <w:t xml:space="preserve"> with </w:t>
      </w:r>
      <w:proofErr w:type="gramStart"/>
      <w:r w:rsidRPr="008B59DA" w:rsidR="008B59DA">
        <w:rPr>
          <w:sz w:val="22"/>
          <w:szCs w:val="22"/>
        </w:rPr>
        <w:t>dedicated</w:t>
      </w:r>
      <w:proofErr w:type="gramEnd"/>
      <w:r w:rsidRPr="008B59DA" w:rsidR="008B59DA">
        <w:rPr>
          <w:sz w:val="22"/>
          <w:szCs w:val="22"/>
        </w:rPr>
        <w:t xml:space="preserve"> Co-Directors and coordinators. </w:t>
      </w:r>
    </w:p>
    <w:p w:rsidRPr="008B59DA" w:rsidR="008B59DA" w:rsidP="008B59DA" w:rsidRDefault="008B59DA" w14:paraId="468E1274" w14:textId="77777777">
      <w:pPr>
        <w:rPr>
          <w:sz w:val="22"/>
          <w:szCs w:val="22"/>
        </w:rPr>
      </w:pPr>
      <w:r w:rsidRPr="008B59DA">
        <w:rPr>
          <w:sz w:val="22"/>
          <w:szCs w:val="22"/>
        </w:rPr>
        <w:t>2. University of Connecticut (UConn) </w:t>
      </w:r>
    </w:p>
    <w:p w:rsidRPr="008B59DA" w:rsidR="008B59DA" w:rsidP="008B59DA" w:rsidRDefault="008B59DA" w14:paraId="5366B6EB" w14:textId="282CF430">
      <w:pPr>
        <w:numPr>
          <w:ilvl w:val="0"/>
          <w:numId w:val="47"/>
        </w:numPr>
        <w:rPr>
          <w:sz w:val="22"/>
          <w:szCs w:val="22"/>
        </w:rPr>
      </w:pPr>
      <w:r w:rsidRPr="008B59DA">
        <w:rPr>
          <w:sz w:val="22"/>
          <w:szCs w:val="22"/>
        </w:rPr>
        <w:t>Structure: UConn hosts the Center for Neurodiversity &amp; Employment Innovation. </w:t>
      </w:r>
    </w:p>
    <w:p w:rsidRPr="008B59DA" w:rsidR="008B59DA" w:rsidP="008B59DA" w:rsidRDefault="008B59DA" w14:paraId="268439DA" w14:textId="6C0CF765">
      <w:pPr>
        <w:numPr>
          <w:ilvl w:val="0"/>
          <w:numId w:val="48"/>
        </w:numPr>
        <w:rPr>
          <w:sz w:val="22"/>
          <w:szCs w:val="22"/>
        </w:rPr>
      </w:pPr>
      <w:r w:rsidRPr="008B59DA">
        <w:rPr>
          <w:sz w:val="22"/>
          <w:szCs w:val="22"/>
        </w:rPr>
        <w:t>Staffing: They have centrally funded directors and coordinators who specifically bridge the gap between academic life and corporate employment. </w:t>
      </w:r>
    </w:p>
    <w:p w:rsidRPr="008B59DA" w:rsidR="008B59DA" w:rsidP="008B59DA" w:rsidRDefault="008B59DA" w14:paraId="1CD138C0" w14:textId="77777777">
      <w:pPr>
        <w:rPr>
          <w:sz w:val="22"/>
          <w:szCs w:val="22"/>
        </w:rPr>
      </w:pPr>
      <w:r w:rsidRPr="008B59DA">
        <w:rPr>
          <w:sz w:val="22"/>
          <w:szCs w:val="22"/>
        </w:rPr>
        <w:t>3. William &amp; Mary (Virginia) </w:t>
      </w:r>
    </w:p>
    <w:p w:rsidRPr="008B59DA" w:rsidR="008B59DA" w:rsidP="008B59DA" w:rsidRDefault="008B59DA" w14:paraId="217AD473" w14:textId="06035D34">
      <w:pPr>
        <w:numPr>
          <w:ilvl w:val="0"/>
          <w:numId w:val="50"/>
        </w:numPr>
        <w:rPr>
          <w:sz w:val="22"/>
          <w:szCs w:val="22"/>
        </w:rPr>
      </w:pPr>
      <w:r w:rsidRPr="008B59DA">
        <w:rPr>
          <w:sz w:val="22"/>
          <w:szCs w:val="22"/>
        </w:rPr>
        <w:t>Structure: W&amp;M was one of the first public universities to establish a campus-wide, centrally funded Neurodiversity Initiative. </w:t>
      </w:r>
    </w:p>
    <w:p w:rsidRPr="008B59DA" w:rsidR="008B59DA" w:rsidP="008B59DA" w:rsidRDefault="008B59DA" w14:paraId="00350A2F" w14:textId="14E7547F">
      <w:pPr>
        <w:numPr>
          <w:ilvl w:val="0"/>
          <w:numId w:val="51"/>
        </w:numPr>
        <w:rPr>
          <w:sz w:val="22"/>
          <w:szCs w:val="22"/>
        </w:rPr>
      </w:pPr>
      <w:r w:rsidRPr="008B59DA">
        <w:rPr>
          <w:sz w:val="22"/>
          <w:szCs w:val="22"/>
        </w:rPr>
        <w:t xml:space="preserve">Staffing: They created a permanent, paid "Neurodiversity Scholar in Residence" position and </w:t>
      </w:r>
      <w:proofErr w:type="gramStart"/>
      <w:r w:rsidRPr="008B59DA">
        <w:rPr>
          <w:sz w:val="22"/>
          <w:szCs w:val="22"/>
        </w:rPr>
        <w:t>dedicated</w:t>
      </w:r>
      <w:proofErr w:type="gramEnd"/>
      <w:r w:rsidRPr="008B59DA">
        <w:rPr>
          <w:sz w:val="22"/>
          <w:szCs w:val="22"/>
        </w:rPr>
        <w:t xml:space="preserve"> coordinating staff to manage a neurodiversity working group, peer mentoring, and campus-wide faculty training. </w:t>
      </w:r>
    </w:p>
    <w:p w:rsidRPr="008B59DA" w:rsidR="008B59DA" w:rsidP="008B59DA" w:rsidRDefault="008B59DA" w14:paraId="29A81A74" w14:textId="77777777">
      <w:pPr>
        <w:rPr>
          <w:sz w:val="22"/>
          <w:szCs w:val="22"/>
        </w:rPr>
      </w:pPr>
      <w:r w:rsidRPr="008B59DA">
        <w:rPr>
          <w:sz w:val="22"/>
          <w:szCs w:val="22"/>
        </w:rPr>
        <w:t>4. University of Tennessee at Chattanooga (UTC) </w:t>
      </w:r>
    </w:p>
    <w:p w:rsidRPr="008B59DA" w:rsidR="008B59DA" w:rsidP="008B59DA" w:rsidRDefault="008B59DA" w14:paraId="310BB049" w14:textId="0C23D89F">
      <w:pPr>
        <w:numPr>
          <w:ilvl w:val="0"/>
          <w:numId w:val="53"/>
        </w:numPr>
        <w:rPr>
          <w:sz w:val="22"/>
          <w:szCs w:val="22"/>
        </w:rPr>
      </w:pPr>
      <w:r w:rsidRPr="008B59DA">
        <w:rPr>
          <w:sz w:val="22"/>
          <w:szCs w:val="22"/>
        </w:rPr>
        <w:t xml:space="preserve">Structure: UTC operates the </w:t>
      </w:r>
      <w:proofErr w:type="spellStart"/>
      <w:r w:rsidRPr="008B59DA">
        <w:rPr>
          <w:sz w:val="22"/>
          <w:szCs w:val="22"/>
        </w:rPr>
        <w:t>MoSAIC</w:t>
      </w:r>
      <w:proofErr w:type="spellEnd"/>
      <w:r w:rsidRPr="008B59DA">
        <w:rPr>
          <w:sz w:val="22"/>
          <w:szCs w:val="22"/>
        </w:rPr>
        <w:t xml:space="preserve"> Program, which is a comprehensive, multi-tiered support program for autistic degree-seeking students. </w:t>
      </w:r>
    </w:p>
    <w:p w:rsidRPr="008B59DA" w:rsidR="008B59DA" w:rsidP="008B59DA" w:rsidRDefault="008B59DA" w14:paraId="2876ABE6" w14:textId="76B09552">
      <w:pPr>
        <w:numPr>
          <w:ilvl w:val="0"/>
          <w:numId w:val="54"/>
        </w:numPr>
        <w:rPr>
          <w:sz w:val="22"/>
          <w:szCs w:val="22"/>
        </w:rPr>
      </w:pPr>
      <w:proofErr w:type="gramStart"/>
      <w:r w:rsidRPr="008B59DA">
        <w:rPr>
          <w:sz w:val="22"/>
          <w:szCs w:val="22"/>
        </w:rPr>
        <w:t>Staffing</w:t>
      </w:r>
      <w:proofErr w:type="gramEnd"/>
      <w:r w:rsidRPr="008B59DA">
        <w:rPr>
          <w:sz w:val="22"/>
          <w:szCs w:val="22"/>
        </w:rPr>
        <w:t xml:space="preserve">: It </w:t>
      </w:r>
      <w:proofErr w:type="gramStart"/>
      <w:r w:rsidRPr="008B59DA">
        <w:rPr>
          <w:sz w:val="22"/>
          <w:szCs w:val="22"/>
        </w:rPr>
        <w:t>is run</w:t>
      </w:r>
      <w:proofErr w:type="gramEnd"/>
      <w:r w:rsidRPr="008B59DA">
        <w:rPr>
          <w:sz w:val="22"/>
          <w:szCs w:val="22"/>
        </w:rPr>
        <w:t xml:space="preserve"> by a </w:t>
      </w:r>
      <w:proofErr w:type="gramStart"/>
      <w:r w:rsidRPr="008B59DA">
        <w:rPr>
          <w:sz w:val="22"/>
          <w:szCs w:val="22"/>
        </w:rPr>
        <w:t>dedicated</w:t>
      </w:r>
      <w:proofErr w:type="gramEnd"/>
      <w:r w:rsidRPr="008B59DA">
        <w:rPr>
          <w:sz w:val="22"/>
          <w:szCs w:val="22"/>
        </w:rPr>
        <w:t xml:space="preserve">, full-time </w:t>
      </w:r>
      <w:proofErr w:type="spellStart"/>
      <w:r w:rsidRPr="008B59DA">
        <w:rPr>
          <w:sz w:val="22"/>
          <w:szCs w:val="22"/>
        </w:rPr>
        <w:t>MoSAIC</w:t>
      </w:r>
      <w:proofErr w:type="spellEnd"/>
      <w:r w:rsidRPr="008B59DA">
        <w:rPr>
          <w:sz w:val="22"/>
          <w:szCs w:val="22"/>
        </w:rPr>
        <w:t xml:space="preserve"> Coordinator and supporting staff. </w:t>
      </w:r>
    </w:p>
    <w:p w:rsidR="28C70CA9" w:rsidP="28C70CA9" w:rsidRDefault="28C70CA9" w14:paraId="1A382E1D" w14:textId="416EB791"/>
    <w:sectPr w:rsidR="28C70CA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E72" w:rsidRDefault="00C27E72" w14:paraId="71E19848" w14:textId="77777777">
      <w:pPr>
        <w:spacing w:after="0" w:line="240" w:lineRule="auto"/>
      </w:pPr>
      <w:r>
        <w:separator/>
      </w:r>
    </w:p>
  </w:endnote>
  <w:endnote w:type="continuationSeparator" w:id="0">
    <w:p w:rsidR="00C27E72" w:rsidRDefault="00C27E72" w14:paraId="57C8EF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E72" w:rsidRDefault="00C27E72" w14:paraId="358BEC33" w14:textId="77777777">
      <w:pPr>
        <w:spacing w:after="0" w:line="240" w:lineRule="auto"/>
      </w:pPr>
      <w:r>
        <w:separator/>
      </w:r>
    </w:p>
  </w:footnote>
  <w:footnote w:type="continuationSeparator" w:id="0">
    <w:p w:rsidR="00C27E72" w:rsidRDefault="00C27E72" w14:paraId="654B1CFF" w14:textId="77777777">
      <w:pPr>
        <w:spacing w:after="0" w:line="240" w:lineRule="auto"/>
      </w:pPr>
      <w:r>
        <w:continuationSeparator/>
      </w:r>
    </w:p>
  </w:footnote>
  <w:footnote w:id="1">
    <w:p w:rsidR="7EF1B1C7" w:rsidP="7EF1B1C7" w:rsidRDefault="7EF1B1C7" w14:paraId="2C939B31" w14:textId="360DC3B8">
      <w:pPr>
        <w:pStyle w:val="FootnoteText"/>
        <w:spacing w:line="300" w:lineRule="auto"/>
      </w:pPr>
      <w:r w:rsidRPr="7EF1B1C7">
        <w:rPr>
          <w:rStyle w:val="FootnoteReference"/>
        </w:rPr>
        <w:footnoteRef/>
      </w:r>
      <w:r>
        <w:t xml:space="preserve"> </w:t>
      </w:r>
      <w:r w:rsidRPr="7EF1B1C7">
        <w:rPr>
          <w:rFonts w:eastAsiaTheme="minorEastAsia"/>
          <w:sz w:val="16"/>
          <w:szCs w:val="16"/>
        </w:rPr>
        <w:t xml:space="preserve">Job Accommodation Network. (n.d.). </w:t>
      </w:r>
      <w:r w:rsidRPr="7EF1B1C7">
        <w:rPr>
          <w:rFonts w:eastAsiaTheme="minorEastAsia"/>
          <w:i/>
          <w:iCs/>
          <w:sz w:val="16"/>
          <w:szCs w:val="16"/>
        </w:rPr>
        <w:t>Best practices in establishing a centralized accommodation fund.</w:t>
      </w:r>
      <w:r w:rsidRPr="7EF1B1C7">
        <w:rPr>
          <w:rFonts w:eastAsiaTheme="minorEastAsia"/>
          <w:sz w:val="16"/>
          <w:szCs w:val="16"/>
        </w:rPr>
        <w:t xml:space="preserve"> </w:t>
      </w:r>
      <w:hyperlink r:id="rId1">
        <w:r w:rsidRPr="7EF1B1C7">
          <w:rPr>
            <w:rStyle w:val="Hyperlink"/>
            <w:rFonts w:eastAsiaTheme="minorEastAsia"/>
            <w:sz w:val="16"/>
            <w:szCs w:val="16"/>
          </w:rPr>
          <w:t>https://askjan.org/articles/Best-Practices-in-Establishing-a-Centralized-Accommodation-Fund.cfm</w:t>
        </w:r>
      </w:hyperlink>
    </w:p>
  </w:footnote>
  <w:footnote w:id="2">
    <w:p w:rsidRPr="00116DF9" w:rsidR="00116DF9" w:rsidP="00116DF9" w:rsidRDefault="00670104" w14:paraId="225605CB" w14:textId="77777777">
      <w:pPr>
        <w:pStyle w:val="FootnoteText"/>
      </w:pPr>
      <w:r>
        <w:rPr>
          <w:rStyle w:val="FootnoteReference"/>
        </w:rPr>
        <w:footnoteRef/>
      </w:r>
      <w:r>
        <w:t xml:space="preserve"> </w:t>
      </w:r>
      <w:r w:rsidRPr="00116DF9" w:rsidR="00116DF9">
        <w:rPr>
          <w:b/>
          <w:bCs/>
        </w:rPr>
        <w:t>Centers for Disease Control and Prevention (CDC). (2025).</w:t>
      </w:r>
      <w:r w:rsidRPr="00116DF9" w:rsidR="00116DF9">
        <w:t xml:space="preserve"> </w:t>
      </w:r>
      <w:r w:rsidRPr="00116DF9" w:rsidR="00116DF9">
        <w:rPr>
          <w:i/>
          <w:iCs/>
        </w:rPr>
        <w:t xml:space="preserve">Prevalence and early identification of autism spectrum disorder among children aged 4 and 8 years — Autism and Developmental Disabilities Monitoring Network, </w:t>
      </w:r>
      <w:proofErr w:type="gramStart"/>
      <w:r w:rsidRPr="00116DF9" w:rsidR="00116DF9">
        <w:rPr>
          <w:i/>
          <w:iCs/>
        </w:rPr>
        <w:t>16</w:t>
      </w:r>
      <w:proofErr w:type="gramEnd"/>
      <w:r w:rsidRPr="00116DF9" w:rsidR="00116DF9">
        <w:rPr>
          <w:i/>
          <w:iCs/>
        </w:rPr>
        <w:t xml:space="preserve"> sites, United States, 2022.</w:t>
      </w:r>
      <w:r w:rsidRPr="00116DF9" w:rsidR="00116DF9">
        <w:t xml:space="preserve"> Morbidity and Mortality Weekly Report (MMWR) Surveillance Summaries. </w:t>
      </w:r>
    </w:p>
    <w:p w:rsidR="00670104" w:rsidRDefault="00670104" w14:paraId="587AC7B1" w14:textId="59290AAC">
      <w:pPr>
        <w:pStyle w:val="FootnoteText"/>
      </w:pPr>
    </w:p>
  </w:footnote>
  <w:footnote w:id="3">
    <w:p w:rsidRPr="00EA6A70" w:rsidR="00EA6A70" w:rsidP="00EA6A70" w:rsidRDefault="00B70995" w14:paraId="5E9D7A11" w14:textId="77777777">
      <w:pPr>
        <w:pStyle w:val="FootnoteText"/>
      </w:pPr>
      <w:r>
        <w:rPr>
          <w:rStyle w:val="FootnoteReference"/>
        </w:rPr>
        <w:footnoteRef/>
      </w:r>
      <w:r>
        <w:t xml:space="preserve"> </w:t>
      </w:r>
      <w:r w:rsidRPr="00EA6A70" w:rsidR="00EA6A70">
        <w:rPr>
          <w:b/>
          <w:bCs/>
        </w:rPr>
        <w:t xml:space="preserve">Cox, B. E., </w:t>
      </w:r>
      <w:proofErr w:type="spellStart"/>
      <w:r w:rsidRPr="00EA6A70" w:rsidR="00EA6A70">
        <w:rPr>
          <w:b/>
          <w:bCs/>
        </w:rPr>
        <w:t>Edelkoort</w:t>
      </w:r>
      <w:proofErr w:type="spellEnd"/>
      <w:r w:rsidRPr="00EA6A70" w:rsidR="00EA6A70">
        <w:rPr>
          <w:b/>
          <w:bCs/>
        </w:rPr>
        <w:t>, B. A., &amp; Anderson, K. (2022).</w:t>
      </w:r>
      <w:r w:rsidRPr="00EA6A70" w:rsidR="00EA6A70">
        <w:t xml:space="preserve"> </w:t>
      </w:r>
      <w:r w:rsidRPr="00EA6A70" w:rsidR="00EA6A70">
        <w:rPr>
          <w:i/>
          <w:iCs/>
        </w:rPr>
        <w:t>Brief report: Autism-specific college support programs: Differences across geography and institutional type.</w:t>
      </w:r>
      <w:r w:rsidRPr="00EA6A70" w:rsidR="00EA6A70">
        <w:t xml:space="preserve"> Journal of Autism and Developmental Disorders, 52(9), 4194-4200. </w:t>
      </w:r>
    </w:p>
    <w:p w:rsidR="00B70995" w:rsidRDefault="00B70995" w14:paraId="6D2AB41C" w14:textId="5A60BE4F">
      <w:pPr>
        <w:pStyle w:val="FootnoteText"/>
      </w:pPr>
    </w:p>
  </w:footnote>
  <w:footnote w:id="4">
    <w:p w:rsidRPr="00060845" w:rsidR="00060845" w:rsidP="00060845" w:rsidRDefault="00060845" w14:paraId="2B900C15" w14:textId="77777777">
      <w:pPr>
        <w:pStyle w:val="FootnoteText"/>
      </w:pPr>
      <w:r>
        <w:rPr>
          <w:rStyle w:val="FootnoteReference"/>
        </w:rPr>
        <w:footnoteRef/>
      </w:r>
      <w:r>
        <w:t xml:space="preserve"> </w:t>
      </w:r>
      <w:r w:rsidRPr="00060845">
        <w:rPr>
          <w:b/>
          <w:bCs/>
        </w:rPr>
        <w:t>Cox, B. E., Stockwell, K. M., Kepple, C. R., &amp; Francis, C. B. (2026).</w:t>
      </w:r>
      <w:r w:rsidRPr="00060845">
        <w:t xml:space="preserve"> </w:t>
      </w:r>
      <w:r w:rsidRPr="00060845">
        <w:rPr>
          <w:i/>
          <w:iCs/>
        </w:rPr>
        <w:t>The prevalence of autistic college students in the United States.</w:t>
      </w:r>
      <w:r w:rsidRPr="00060845">
        <w:t xml:space="preserve"> Autism in Adulthood. </w:t>
      </w:r>
    </w:p>
    <w:p w:rsidR="00060845" w:rsidRDefault="00060845" w14:paraId="30D48C10" w14:textId="502C5E17">
      <w:pPr>
        <w:pStyle w:val="FootnoteText"/>
      </w:pPr>
    </w:p>
  </w:footnote>
  <w:footnote w:id="5">
    <w:p w:rsidRPr="00EC6A33" w:rsidR="00514D0A" w:rsidRDefault="00514D0A" w14:paraId="08E70DA0" w14:textId="25EF4A06">
      <w:pPr>
        <w:pStyle w:val="FootnoteText"/>
      </w:pPr>
      <w:r>
        <w:rPr>
          <w:rStyle w:val="FootnoteReference"/>
        </w:rPr>
        <w:footnoteRef/>
      </w:r>
      <w:r>
        <w:t xml:space="preserve"> </w:t>
      </w:r>
      <w:r w:rsidR="00EC6A33">
        <w:t xml:space="preserve">Dwyer, P., Mineo, E., Mifsud, K., Lindholm, C., Gurga, A., &amp; Waisman, T.C. (2023). </w:t>
      </w:r>
      <w:r w:rsidR="00EC6A33">
        <w:rPr>
          <w:i/>
          <w:iCs/>
        </w:rPr>
        <w:t xml:space="preserve">Building neurodiversity-inclusive postsecondary campuses: Recommendations for leaders in higher education. </w:t>
      </w:r>
      <w:r w:rsidR="00EC6A33">
        <w:t xml:space="preserve">Autism in Adulthood, 5(1), 1-14. </w:t>
      </w:r>
      <w:hyperlink w:history="1" r:id="rId2">
        <w:r w:rsidRPr="004863CB" w:rsidR="00EC6A33">
          <w:rPr>
            <w:rStyle w:val="Hyperlink"/>
          </w:rPr>
          <w:t>https://doi.org/10.1089/aut.2021.0042</w:t>
        </w:r>
      </w:hyperlink>
      <w:r w:rsidR="00EC6A33">
        <w:t xml:space="preserve"> </w:t>
      </w:r>
    </w:p>
  </w:footnote>
  <w:footnote w:id="6">
    <w:p w:rsidRPr="00E41FDE" w:rsidR="007C3853" w:rsidRDefault="007C3853" w14:paraId="6BD15E2B" w14:textId="0656FC60">
      <w:pPr>
        <w:pStyle w:val="FootnoteText"/>
      </w:pPr>
      <w:r>
        <w:rPr>
          <w:rStyle w:val="FootnoteReference"/>
        </w:rPr>
        <w:footnoteRef/>
      </w:r>
      <w:r>
        <w:t xml:space="preserve"> </w:t>
      </w:r>
      <w:r w:rsidR="00EA3714">
        <w:t xml:space="preserve">National Center for Education Statistics (NCES). (n.d.). </w:t>
      </w:r>
      <w:r w:rsidR="00EA3714">
        <w:rPr>
          <w:i/>
          <w:iCs/>
        </w:rPr>
        <w:t xml:space="preserve">Undergraduate retention and graduation rates. </w:t>
      </w:r>
      <w:r w:rsidR="00EA3714">
        <w:t>U.S. Department of Education, Institute of Education Sciences</w:t>
      </w:r>
      <w:r w:rsidR="00BB6E1A">
        <w:br/>
      </w:r>
      <w:r w:rsidR="00705A45">
        <w:t xml:space="preserve">Roux, A.M., Shattuck, P.T., Rast, J.E., Rava, J.A., &amp; Anderson, K.A. (2015). </w:t>
      </w:r>
      <w:r w:rsidR="00705A45">
        <w:rPr>
          <w:i/>
          <w:iCs/>
        </w:rPr>
        <w:t>National Autsim Indicators Report: Transition into young adulthood.</w:t>
      </w:r>
      <w:r w:rsidR="00705A45">
        <w:t xml:space="preserve"> Philadelphia, PA: Life Course Outcomes Research Program, A.J. Drexel Autism Institute, Drexel University (Note: This is the formal citation for the NTLTS2 39% graduation data).</w:t>
      </w:r>
      <w:r w:rsidR="00705A45">
        <w:br/>
      </w:r>
      <w:r w:rsidR="00705A45">
        <w:t>Wilson</w:t>
      </w:r>
      <w:r w:rsidR="00E41FDE">
        <w:t xml:space="preserve">, K. &amp; Dallman, A. (2022). </w:t>
      </w:r>
      <w:r w:rsidR="00E41FDE">
        <w:rPr>
          <w:i/>
          <w:iCs/>
        </w:rPr>
        <w:t>Strategies for promoting neurodiversity and autism acceptance in higher education.</w:t>
      </w:r>
    </w:p>
  </w:footnote>
</w:footnotes>
</file>

<file path=word/intelligence2.xml><?xml version="1.0" encoding="utf-8"?>
<int2:intelligence xmlns:int2="http://schemas.microsoft.com/office/intelligence/2020/intelligence" xmlns:oel="http://schemas.microsoft.com/office/2019/extlst">
  <int2:observations>
    <int2:bookmark int2:bookmarkName="_Int_nUJWnmQ1" int2:invalidationBookmarkName="" int2:hashCode="q6lY1nkAKy6jCy" int2:id="DM45MCG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4">
    <w:nsid w:val="5ee3f9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237D12"/>
    <w:multiLevelType w:val="multilevel"/>
    <w:tmpl w:val="C4E29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283CFE"/>
    <w:multiLevelType w:val="hybridMultilevel"/>
    <w:tmpl w:val="48A69D52"/>
    <w:lvl w:ilvl="0" w:tplc="F182A922">
      <w:start w:val="1"/>
      <w:numFmt w:val="bullet"/>
      <w:lvlText w:val=""/>
      <w:lvlJc w:val="left"/>
      <w:pPr>
        <w:ind w:left="720" w:hanging="360"/>
      </w:pPr>
      <w:rPr>
        <w:rFonts w:hint="default" w:ascii="Symbol" w:hAnsi="Symbol"/>
      </w:rPr>
    </w:lvl>
    <w:lvl w:ilvl="1" w:tplc="15CC81AC">
      <w:start w:val="1"/>
      <w:numFmt w:val="bullet"/>
      <w:lvlText w:val="o"/>
      <w:lvlJc w:val="left"/>
      <w:pPr>
        <w:ind w:left="1440" w:hanging="360"/>
      </w:pPr>
      <w:rPr>
        <w:rFonts w:hint="default" w:ascii="Courier New" w:hAnsi="Courier New"/>
      </w:rPr>
    </w:lvl>
    <w:lvl w:ilvl="2" w:tplc="11DC7838">
      <w:start w:val="1"/>
      <w:numFmt w:val="bullet"/>
      <w:lvlText w:val=""/>
      <w:lvlJc w:val="left"/>
      <w:pPr>
        <w:ind w:left="2160" w:hanging="360"/>
      </w:pPr>
      <w:rPr>
        <w:rFonts w:hint="default" w:ascii="Wingdings" w:hAnsi="Wingdings"/>
      </w:rPr>
    </w:lvl>
    <w:lvl w:ilvl="3" w:tplc="748EEB08">
      <w:start w:val="1"/>
      <w:numFmt w:val="bullet"/>
      <w:lvlText w:val=""/>
      <w:lvlJc w:val="left"/>
      <w:pPr>
        <w:ind w:left="2880" w:hanging="360"/>
      </w:pPr>
      <w:rPr>
        <w:rFonts w:hint="default" w:ascii="Symbol" w:hAnsi="Symbol"/>
      </w:rPr>
    </w:lvl>
    <w:lvl w:ilvl="4" w:tplc="42065768">
      <w:start w:val="1"/>
      <w:numFmt w:val="bullet"/>
      <w:lvlText w:val="o"/>
      <w:lvlJc w:val="left"/>
      <w:pPr>
        <w:ind w:left="3600" w:hanging="360"/>
      </w:pPr>
      <w:rPr>
        <w:rFonts w:hint="default" w:ascii="Courier New" w:hAnsi="Courier New"/>
      </w:rPr>
    </w:lvl>
    <w:lvl w:ilvl="5" w:tplc="CADAC702">
      <w:start w:val="1"/>
      <w:numFmt w:val="bullet"/>
      <w:lvlText w:val=""/>
      <w:lvlJc w:val="left"/>
      <w:pPr>
        <w:ind w:left="4320" w:hanging="360"/>
      </w:pPr>
      <w:rPr>
        <w:rFonts w:hint="default" w:ascii="Wingdings" w:hAnsi="Wingdings"/>
      </w:rPr>
    </w:lvl>
    <w:lvl w:ilvl="6" w:tplc="4F62F06A">
      <w:start w:val="1"/>
      <w:numFmt w:val="bullet"/>
      <w:lvlText w:val=""/>
      <w:lvlJc w:val="left"/>
      <w:pPr>
        <w:ind w:left="5040" w:hanging="360"/>
      </w:pPr>
      <w:rPr>
        <w:rFonts w:hint="default" w:ascii="Symbol" w:hAnsi="Symbol"/>
      </w:rPr>
    </w:lvl>
    <w:lvl w:ilvl="7" w:tplc="9BCC5022">
      <w:start w:val="1"/>
      <w:numFmt w:val="bullet"/>
      <w:lvlText w:val="o"/>
      <w:lvlJc w:val="left"/>
      <w:pPr>
        <w:ind w:left="5760" w:hanging="360"/>
      </w:pPr>
      <w:rPr>
        <w:rFonts w:hint="default" w:ascii="Courier New" w:hAnsi="Courier New"/>
      </w:rPr>
    </w:lvl>
    <w:lvl w:ilvl="8" w:tplc="C2E2EE38">
      <w:start w:val="1"/>
      <w:numFmt w:val="bullet"/>
      <w:lvlText w:val=""/>
      <w:lvlJc w:val="left"/>
      <w:pPr>
        <w:ind w:left="6480" w:hanging="360"/>
      </w:pPr>
      <w:rPr>
        <w:rFonts w:hint="default" w:ascii="Wingdings" w:hAnsi="Wingdings"/>
      </w:rPr>
    </w:lvl>
  </w:abstractNum>
  <w:abstractNum w:abstractNumId="2" w15:restartNumberingAfterBreak="0">
    <w:nsid w:val="020D295B"/>
    <w:multiLevelType w:val="hybridMultilevel"/>
    <w:tmpl w:val="6EB0EE76"/>
    <w:lvl w:ilvl="0" w:tplc="ACC228FE">
      <w:start w:val="1"/>
      <w:numFmt w:val="bullet"/>
      <w:lvlText w:val="●"/>
      <w:lvlJc w:val="left"/>
      <w:pPr>
        <w:ind w:left="720" w:hanging="360"/>
      </w:pPr>
      <w:rPr>
        <w:rFonts w:hint="default" w:ascii="Symbol" w:hAnsi="Symbol"/>
      </w:rPr>
    </w:lvl>
    <w:lvl w:ilvl="1" w:tplc="00F4EDA6">
      <w:start w:val="1"/>
      <w:numFmt w:val="bullet"/>
      <w:lvlText w:val="○"/>
      <w:lvlJc w:val="left"/>
      <w:pPr>
        <w:ind w:left="1440" w:hanging="360"/>
      </w:pPr>
      <w:rPr>
        <w:rFonts w:hint="default" w:ascii="Symbol" w:hAnsi="Symbol"/>
      </w:rPr>
    </w:lvl>
    <w:lvl w:ilvl="2" w:tplc="A3EC4098">
      <w:start w:val="1"/>
      <w:numFmt w:val="bullet"/>
      <w:lvlText w:val=""/>
      <w:lvlJc w:val="left"/>
      <w:pPr>
        <w:ind w:left="2160" w:hanging="360"/>
      </w:pPr>
      <w:rPr>
        <w:rFonts w:hint="default" w:ascii="Wingdings" w:hAnsi="Wingdings"/>
      </w:rPr>
    </w:lvl>
    <w:lvl w:ilvl="3" w:tplc="94C01D56">
      <w:start w:val="1"/>
      <w:numFmt w:val="bullet"/>
      <w:lvlText w:val=""/>
      <w:lvlJc w:val="left"/>
      <w:pPr>
        <w:ind w:left="2880" w:hanging="360"/>
      </w:pPr>
      <w:rPr>
        <w:rFonts w:hint="default" w:ascii="Symbol" w:hAnsi="Symbol"/>
      </w:rPr>
    </w:lvl>
    <w:lvl w:ilvl="4" w:tplc="F0AE0684">
      <w:start w:val="1"/>
      <w:numFmt w:val="bullet"/>
      <w:lvlText w:val="o"/>
      <w:lvlJc w:val="left"/>
      <w:pPr>
        <w:ind w:left="3600" w:hanging="360"/>
      </w:pPr>
      <w:rPr>
        <w:rFonts w:hint="default" w:ascii="Courier New" w:hAnsi="Courier New"/>
      </w:rPr>
    </w:lvl>
    <w:lvl w:ilvl="5" w:tplc="661476A6">
      <w:start w:val="1"/>
      <w:numFmt w:val="bullet"/>
      <w:lvlText w:val=""/>
      <w:lvlJc w:val="left"/>
      <w:pPr>
        <w:ind w:left="4320" w:hanging="360"/>
      </w:pPr>
      <w:rPr>
        <w:rFonts w:hint="default" w:ascii="Wingdings" w:hAnsi="Wingdings"/>
      </w:rPr>
    </w:lvl>
    <w:lvl w:ilvl="6" w:tplc="408225B0">
      <w:start w:val="1"/>
      <w:numFmt w:val="bullet"/>
      <w:lvlText w:val=""/>
      <w:lvlJc w:val="left"/>
      <w:pPr>
        <w:ind w:left="5040" w:hanging="360"/>
      </w:pPr>
      <w:rPr>
        <w:rFonts w:hint="default" w:ascii="Symbol" w:hAnsi="Symbol"/>
      </w:rPr>
    </w:lvl>
    <w:lvl w:ilvl="7" w:tplc="24EE0D18">
      <w:start w:val="1"/>
      <w:numFmt w:val="bullet"/>
      <w:lvlText w:val="o"/>
      <w:lvlJc w:val="left"/>
      <w:pPr>
        <w:ind w:left="5760" w:hanging="360"/>
      </w:pPr>
      <w:rPr>
        <w:rFonts w:hint="default" w:ascii="Courier New" w:hAnsi="Courier New"/>
      </w:rPr>
    </w:lvl>
    <w:lvl w:ilvl="8" w:tplc="D6AC0484">
      <w:start w:val="1"/>
      <w:numFmt w:val="bullet"/>
      <w:lvlText w:val=""/>
      <w:lvlJc w:val="left"/>
      <w:pPr>
        <w:ind w:left="6480" w:hanging="360"/>
      </w:pPr>
      <w:rPr>
        <w:rFonts w:hint="default" w:ascii="Wingdings" w:hAnsi="Wingdings"/>
      </w:rPr>
    </w:lvl>
  </w:abstractNum>
  <w:abstractNum w:abstractNumId="3" w15:restartNumberingAfterBreak="0">
    <w:nsid w:val="037F2E47"/>
    <w:multiLevelType w:val="hybridMultilevel"/>
    <w:tmpl w:val="DADE2A24"/>
    <w:lvl w:ilvl="0" w:tplc="24E25080">
      <w:start w:val="1"/>
      <w:numFmt w:val="bullet"/>
      <w:lvlText w:val=""/>
      <w:lvlJc w:val="left"/>
      <w:pPr>
        <w:ind w:left="720" w:hanging="360"/>
      </w:pPr>
      <w:rPr>
        <w:rFonts w:hint="default" w:ascii="Symbol" w:hAnsi="Symbol"/>
      </w:rPr>
    </w:lvl>
    <w:lvl w:ilvl="1" w:tplc="AFC4994E">
      <w:start w:val="1"/>
      <w:numFmt w:val="bullet"/>
      <w:lvlText w:val="o"/>
      <w:lvlJc w:val="left"/>
      <w:pPr>
        <w:ind w:left="1440" w:hanging="360"/>
      </w:pPr>
      <w:rPr>
        <w:rFonts w:hint="default" w:ascii="Courier New" w:hAnsi="Courier New"/>
      </w:rPr>
    </w:lvl>
    <w:lvl w:ilvl="2" w:tplc="D0749D8A">
      <w:start w:val="1"/>
      <w:numFmt w:val="bullet"/>
      <w:lvlText w:val=""/>
      <w:lvlJc w:val="left"/>
      <w:pPr>
        <w:ind w:left="2160" w:hanging="360"/>
      </w:pPr>
      <w:rPr>
        <w:rFonts w:hint="default" w:ascii="Wingdings" w:hAnsi="Wingdings"/>
      </w:rPr>
    </w:lvl>
    <w:lvl w:ilvl="3" w:tplc="5BF2A7FA">
      <w:start w:val="1"/>
      <w:numFmt w:val="bullet"/>
      <w:lvlText w:val=""/>
      <w:lvlJc w:val="left"/>
      <w:pPr>
        <w:ind w:left="2880" w:hanging="360"/>
      </w:pPr>
      <w:rPr>
        <w:rFonts w:hint="default" w:ascii="Symbol" w:hAnsi="Symbol"/>
      </w:rPr>
    </w:lvl>
    <w:lvl w:ilvl="4" w:tplc="BE764F98">
      <w:start w:val="1"/>
      <w:numFmt w:val="bullet"/>
      <w:lvlText w:val="o"/>
      <w:lvlJc w:val="left"/>
      <w:pPr>
        <w:ind w:left="3600" w:hanging="360"/>
      </w:pPr>
      <w:rPr>
        <w:rFonts w:hint="default" w:ascii="Courier New" w:hAnsi="Courier New"/>
      </w:rPr>
    </w:lvl>
    <w:lvl w:ilvl="5" w:tplc="F62ECCF0">
      <w:start w:val="1"/>
      <w:numFmt w:val="bullet"/>
      <w:lvlText w:val=""/>
      <w:lvlJc w:val="left"/>
      <w:pPr>
        <w:ind w:left="4320" w:hanging="360"/>
      </w:pPr>
      <w:rPr>
        <w:rFonts w:hint="default" w:ascii="Wingdings" w:hAnsi="Wingdings"/>
      </w:rPr>
    </w:lvl>
    <w:lvl w:ilvl="6" w:tplc="8C0C3BFC">
      <w:start w:val="1"/>
      <w:numFmt w:val="bullet"/>
      <w:lvlText w:val=""/>
      <w:lvlJc w:val="left"/>
      <w:pPr>
        <w:ind w:left="5040" w:hanging="360"/>
      </w:pPr>
      <w:rPr>
        <w:rFonts w:hint="default" w:ascii="Symbol" w:hAnsi="Symbol"/>
      </w:rPr>
    </w:lvl>
    <w:lvl w:ilvl="7" w:tplc="85B87588">
      <w:start w:val="1"/>
      <w:numFmt w:val="bullet"/>
      <w:lvlText w:val="o"/>
      <w:lvlJc w:val="left"/>
      <w:pPr>
        <w:ind w:left="5760" w:hanging="360"/>
      </w:pPr>
      <w:rPr>
        <w:rFonts w:hint="default" w:ascii="Courier New" w:hAnsi="Courier New"/>
      </w:rPr>
    </w:lvl>
    <w:lvl w:ilvl="8" w:tplc="81E83918">
      <w:start w:val="1"/>
      <w:numFmt w:val="bullet"/>
      <w:lvlText w:val=""/>
      <w:lvlJc w:val="left"/>
      <w:pPr>
        <w:ind w:left="6480" w:hanging="360"/>
      </w:pPr>
      <w:rPr>
        <w:rFonts w:hint="default" w:ascii="Wingdings" w:hAnsi="Wingdings"/>
      </w:rPr>
    </w:lvl>
  </w:abstractNum>
  <w:abstractNum w:abstractNumId="4" w15:restartNumberingAfterBreak="0">
    <w:nsid w:val="05D6F0E7"/>
    <w:multiLevelType w:val="hybridMultilevel"/>
    <w:tmpl w:val="B8F4DAC4"/>
    <w:lvl w:ilvl="0" w:tplc="224286DA">
      <w:start w:val="1"/>
      <w:numFmt w:val="bullet"/>
      <w:lvlText w:val=""/>
      <w:lvlJc w:val="left"/>
      <w:pPr>
        <w:ind w:left="1080" w:hanging="360"/>
      </w:pPr>
      <w:rPr>
        <w:rFonts w:hint="default" w:ascii="Symbol" w:hAnsi="Symbol"/>
      </w:rPr>
    </w:lvl>
    <w:lvl w:ilvl="1" w:tplc="F160B31C">
      <w:start w:val="1"/>
      <w:numFmt w:val="bullet"/>
      <w:lvlText w:val="o"/>
      <w:lvlJc w:val="left"/>
      <w:pPr>
        <w:ind w:left="1800" w:hanging="360"/>
      </w:pPr>
      <w:rPr>
        <w:rFonts w:hint="default" w:ascii="Courier New" w:hAnsi="Courier New"/>
      </w:rPr>
    </w:lvl>
    <w:lvl w:ilvl="2" w:tplc="B5AC3E02">
      <w:start w:val="1"/>
      <w:numFmt w:val="bullet"/>
      <w:lvlText w:val=""/>
      <w:lvlJc w:val="left"/>
      <w:pPr>
        <w:ind w:left="2520" w:hanging="360"/>
      </w:pPr>
      <w:rPr>
        <w:rFonts w:hint="default" w:ascii="Wingdings" w:hAnsi="Wingdings"/>
      </w:rPr>
    </w:lvl>
    <w:lvl w:ilvl="3" w:tplc="57DAB99A">
      <w:start w:val="1"/>
      <w:numFmt w:val="bullet"/>
      <w:lvlText w:val=""/>
      <w:lvlJc w:val="left"/>
      <w:pPr>
        <w:ind w:left="3240" w:hanging="360"/>
      </w:pPr>
      <w:rPr>
        <w:rFonts w:hint="default" w:ascii="Symbol" w:hAnsi="Symbol"/>
      </w:rPr>
    </w:lvl>
    <w:lvl w:ilvl="4" w:tplc="BBBC9D24">
      <w:start w:val="1"/>
      <w:numFmt w:val="bullet"/>
      <w:lvlText w:val="o"/>
      <w:lvlJc w:val="left"/>
      <w:pPr>
        <w:ind w:left="3960" w:hanging="360"/>
      </w:pPr>
      <w:rPr>
        <w:rFonts w:hint="default" w:ascii="Courier New" w:hAnsi="Courier New"/>
      </w:rPr>
    </w:lvl>
    <w:lvl w:ilvl="5" w:tplc="FAA8A992">
      <w:start w:val="1"/>
      <w:numFmt w:val="bullet"/>
      <w:lvlText w:val=""/>
      <w:lvlJc w:val="left"/>
      <w:pPr>
        <w:ind w:left="4680" w:hanging="360"/>
      </w:pPr>
      <w:rPr>
        <w:rFonts w:hint="default" w:ascii="Wingdings" w:hAnsi="Wingdings"/>
      </w:rPr>
    </w:lvl>
    <w:lvl w:ilvl="6" w:tplc="EB7A2A1C">
      <w:start w:val="1"/>
      <w:numFmt w:val="bullet"/>
      <w:lvlText w:val=""/>
      <w:lvlJc w:val="left"/>
      <w:pPr>
        <w:ind w:left="5400" w:hanging="360"/>
      </w:pPr>
      <w:rPr>
        <w:rFonts w:hint="default" w:ascii="Symbol" w:hAnsi="Symbol"/>
      </w:rPr>
    </w:lvl>
    <w:lvl w:ilvl="7" w:tplc="E2267D86">
      <w:start w:val="1"/>
      <w:numFmt w:val="bullet"/>
      <w:lvlText w:val="o"/>
      <w:lvlJc w:val="left"/>
      <w:pPr>
        <w:ind w:left="6120" w:hanging="360"/>
      </w:pPr>
      <w:rPr>
        <w:rFonts w:hint="default" w:ascii="Courier New" w:hAnsi="Courier New"/>
      </w:rPr>
    </w:lvl>
    <w:lvl w:ilvl="8" w:tplc="01881FE4">
      <w:start w:val="1"/>
      <w:numFmt w:val="bullet"/>
      <w:lvlText w:val=""/>
      <w:lvlJc w:val="left"/>
      <w:pPr>
        <w:ind w:left="6840" w:hanging="360"/>
      </w:pPr>
      <w:rPr>
        <w:rFonts w:hint="default" w:ascii="Wingdings" w:hAnsi="Wingdings"/>
      </w:rPr>
    </w:lvl>
  </w:abstractNum>
  <w:abstractNum w:abstractNumId="5" w15:restartNumberingAfterBreak="0">
    <w:nsid w:val="06F75E17"/>
    <w:multiLevelType w:val="multilevel"/>
    <w:tmpl w:val="E6E22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4B2D58"/>
    <w:multiLevelType w:val="multilevel"/>
    <w:tmpl w:val="84728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AB80F1"/>
    <w:multiLevelType w:val="multilevel"/>
    <w:tmpl w:val="17628C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0FB24859"/>
    <w:multiLevelType w:val="hybridMultilevel"/>
    <w:tmpl w:val="8E4EB28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0A52C21"/>
    <w:multiLevelType w:val="multilevel"/>
    <w:tmpl w:val="5F022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6F0188B"/>
    <w:multiLevelType w:val="hybridMultilevel"/>
    <w:tmpl w:val="A0B48DB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188C3002"/>
    <w:multiLevelType w:val="hybridMultilevel"/>
    <w:tmpl w:val="5CD00D56"/>
    <w:lvl w:ilvl="0" w:tplc="08FE7CC0">
      <w:start w:val="1"/>
      <w:numFmt w:val="bullet"/>
      <w:lvlText w:val=""/>
      <w:lvlJc w:val="left"/>
      <w:pPr>
        <w:ind w:left="720" w:hanging="360"/>
      </w:pPr>
      <w:rPr>
        <w:rFonts w:hint="default" w:ascii="Symbol" w:hAnsi="Symbol"/>
      </w:rPr>
    </w:lvl>
    <w:lvl w:ilvl="1" w:tplc="38C2CCE2">
      <w:start w:val="1"/>
      <w:numFmt w:val="bullet"/>
      <w:lvlText w:val="o"/>
      <w:lvlJc w:val="left"/>
      <w:pPr>
        <w:ind w:left="1440" w:hanging="360"/>
      </w:pPr>
      <w:rPr>
        <w:rFonts w:hint="default" w:ascii="Courier New" w:hAnsi="Courier New"/>
      </w:rPr>
    </w:lvl>
    <w:lvl w:ilvl="2" w:tplc="B740B800">
      <w:start w:val="1"/>
      <w:numFmt w:val="bullet"/>
      <w:lvlText w:val=""/>
      <w:lvlJc w:val="left"/>
      <w:pPr>
        <w:ind w:left="2160" w:hanging="360"/>
      </w:pPr>
      <w:rPr>
        <w:rFonts w:hint="default" w:ascii="Wingdings" w:hAnsi="Wingdings"/>
      </w:rPr>
    </w:lvl>
    <w:lvl w:ilvl="3" w:tplc="67F23CAC">
      <w:start w:val="1"/>
      <w:numFmt w:val="bullet"/>
      <w:lvlText w:val=""/>
      <w:lvlJc w:val="left"/>
      <w:pPr>
        <w:ind w:left="2880" w:hanging="360"/>
      </w:pPr>
      <w:rPr>
        <w:rFonts w:hint="default" w:ascii="Symbol" w:hAnsi="Symbol"/>
      </w:rPr>
    </w:lvl>
    <w:lvl w:ilvl="4" w:tplc="1AA8031A">
      <w:start w:val="1"/>
      <w:numFmt w:val="bullet"/>
      <w:lvlText w:val="o"/>
      <w:lvlJc w:val="left"/>
      <w:pPr>
        <w:ind w:left="3600" w:hanging="360"/>
      </w:pPr>
      <w:rPr>
        <w:rFonts w:hint="default" w:ascii="Courier New" w:hAnsi="Courier New"/>
      </w:rPr>
    </w:lvl>
    <w:lvl w:ilvl="5" w:tplc="3BFA6086">
      <w:start w:val="1"/>
      <w:numFmt w:val="bullet"/>
      <w:lvlText w:val=""/>
      <w:lvlJc w:val="left"/>
      <w:pPr>
        <w:ind w:left="4320" w:hanging="360"/>
      </w:pPr>
      <w:rPr>
        <w:rFonts w:hint="default" w:ascii="Wingdings" w:hAnsi="Wingdings"/>
      </w:rPr>
    </w:lvl>
    <w:lvl w:ilvl="6" w:tplc="5E0C51DC">
      <w:start w:val="1"/>
      <w:numFmt w:val="bullet"/>
      <w:lvlText w:val=""/>
      <w:lvlJc w:val="left"/>
      <w:pPr>
        <w:ind w:left="5040" w:hanging="360"/>
      </w:pPr>
      <w:rPr>
        <w:rFonts w:hint="default" w:ascii="Symbol" w:hAnsi="Symbol"/>
      </w:rPr>
    </w:lvl>
    <w:lvl w:ilvl="7" w:tplc="CBF29ADE">
      <w:start w:val="1"/>
      <w:numFmt w:val="bullet"/>
      <w:lvlText w:val="o"/>
      <w:lvlJc w:val="left"/>
      <w:pPr>
        <w:ind w:left="5760" w:hanging="360"/>
      </w:pPr>
      <w:rPr>
        <w:rFonts w:hint="default" w:ascii="Courier New" w:hAnsi="Courier New"/>
      </w:rPr>
    </w:lvl>
    <w:lvl w:ilvl="8" w:tplc="D968F852">
      <w:start w:val="1"/>
      <w:numFmt w:val="bullet"/>
      <w:lvlText w:val=""/>
      <w:lvlJc w:val="left"/>
      <w:pPr>
        <w:ind w:left="6480" w:hanging="360"/>
      </w:pPr>
      <w:rPr>
        <w:rFonts w:hint="default" w:ascii="Wingdings" w:hAnsi="Wingdings"/>
      </w:rPr>
    </w:lvl>
  </w:abstractNum>
  <w:abstractNum w:abstractNumId="12" w15:restartNumberingAfterBreak="0">
    <w:nsid w:val="1EC21E50"/>
    <w:multiLevelType w:val="multilevel"/>
    <w:tmpl w:val="126AB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F955853"/>
    <w:multiLevelType w:val="multilevel"/>
    <w:tmpl w:val="4080F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16E752B"/>
    <w:multiLevelType w:val="multilevel"/>
    <w:tmpl w:val="987A1EEE"/>
    <w:lvl w:ilvl="0">
      <w:start w:val="1"/>
      <w:numFmt w:val="bullet"/>
      <w:lvlText w:val="o"/>
      <w:lvlJc w:val="left"/>
      <w:pPr>
        <w:ind w:left="144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1C2412A"/>
    <w:multiLevelType w:val="multilevel"/>
    <w:tmpl w:val="4B5EB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8C6758F"/>
    <w:multiLevelType w:val="multilevel"/>
    <w:tmpl w:val="7F7C4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90429FA"/>
    <w:multiLevelType w:val="multilevel"/>
    <w:tmpl w:val="39142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942BC1"/>
    <w:multiLevelType w:val="hybridMultilevel"/>
    <w:tmpl w:val="21F64040"/>
    <w:lvl w:ilvl="0" w:tplc="6B82BB16">
      <w:start w:val="1"/>
      <w:numFmt w:val="decimal"/>
      <w:lvlText w:val="%1."/>
      <w:lvlJc w:val="left"/>
      <w:pPr>
        <w:ind w:left="720" w:hanging="360"/>
      </w:pPr>
    </w:lvl>
    <w:lvl w:ilvl="1" w:tplc="B0CCF626">
      <w:start w:val="1"/>
      <w:numFmt w:val="lowerLetter"/>
      <w:lvlText w:val="%2."/>
      <w:lvlJc w:val="left"/>
      <w:pPr>
        <w:ind w:left="1440" w:hanging="360"/>
      </w:pPr>
    </w:lvl>
    <w:lvl w:ilvl="2" w:tplc="98A8D94C">
      <w:start w:val="1"/>
      <w:numFmt w:val="lowerRoman"/>
      <w:lvlText w:val="%3."/>
      <w:lvlJc w:val="right"/>
      <w:pPr>
        <w:ind w:left="2160" w:hanging="180"/>
      </w:pPr>
    </w:lvl>
    <w:lvl w:ilvl="3" w:tplc="FC6665BC">
      <w:start w:val="1"/>
      <w:numFmt w:val="decimal"/>
      <w:lvlText w:val="%4."/>
      <w:lvlJc w:val="left"/>
      <w:pPr>
        <w:ind w:left="2880" w:hanging="360"/>
      </w:pPr>
    </w:lvl>
    <w:lvl w:ilvl="4" w:tplc="63EE0680">
      <w:start w:val="1"/>
      <w:numFmt w:val="lowerLetter"/>
      <w:lvlText w:val="%5."/>
      <w:lvlJc w:val="left"/>
      <w:pPr>
        <w:ind w:left="3600" w:hanging="360"/>
      </w:pPr>
    </w:lvl>
    <w:lvl w:ilvl="5" w:tplc="B8BEDB80">
      <w:start w:val="1"/>
      <w:numFmt w:val="lowerRoman"/>
      <w:lvlText w:val="%6."/>
      <w:lvlJc w:val="right"/>
      <w:pPr>
        <w:ind w:left="4320" w:hanging="180"/>
      </w:pPr>
    </w:lvl>
    <w:lvl w:ilvl="6" w:tplc="729C4B46">
      <w:start w:val="1"/>
      <w:numFmt w:val="decimal"/>
      <w:lvlText w:val="%7."/>
      <w:lvlJc w:val="left"/>
      <w:pPr>
        <w:ind w:left="5040" w:hanging="360"/>
      </w:pPr>
    </w:lvl>
    <w:lvl w:ilvl="7" w:tplc="43966382">
      <w:start w:val="1"/>
      <w:numFmt w:val="lowerLetter"/>
      <w:lvlText w:val="%8."/>
      <w:lvlJc w:val="left"/>
      <w:pPr>
        <w:ind w:left="5760" w:hanging="360"/>
      </w:pPr>
    </w:lvl>
    <w:lvl w:ilvl="8" w:tplc="CC48A022">
      <w:start w:val="1"/>
      <w:numFmt w:val="lowerRoman"/>
      <w:lvlText w:val="%9."/>
      <w:lvlJc w:val="right"/>
      <w:pPr>
        <w:ind w:left="6480" w:hanging="180"/>
      </w:pPr>
    </w:lvl>
  </w:abstractNum>
  <w:abstractNum w:abstractNumId="19" w15:restartNumberingAfterBreak="0">
    <w:nsid w:val="310E19AC"/>
    <w:multiLevelType w:val="multilevel"/>
    <w:tmpl w:val="45D0A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68E1B50"/>
    <w:multiLevelType w:val="hybridMultilevel"/>
    <w:tmpl w:val="F73E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40A81"/>
    <w:multiLevelType w:val="multilevel"/>
    <w:tmpl w:val="75129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9C461B0"/>
    <w:multiLevelType w:val="multilevel"/>
    <w:tmpl w:val="B2BEC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809677"/>
    <w:multiLevelType w:val="hybridMultilevel"/>
    <w:tmpl w:val="C162865C"/>
    <w:lvl w:ilvl="0" w:tplc="049ACBEC">
      <w:start w:val="1"/>
      <w:numFmt w:val="bullet"/>
      <w:lvlText w:val=""/>
      <w:lvlJc w:val="left"/>
      <w:pPr>
        <w:ind w:left="720" w:hanging="360"/>
      </w:pPr>
      <w:rPr>
        <w:rFonts w:hint="default" w:ascii="Symbol" w:hAnsi="Symbol"/>
      </w:rPr>
    </w:lvl>
    <w:lvl w:ilvl="1" w:tplc="9E28FE6A">
      <w:start w:val="1"/>
      <w:numFmt w:val="bullet"/>
      <w:lvlText w:val="o"/>
      <w:lvlJc w:val="left"/>
      <w:pPr>
        <w:ind w:left="1440" w:hanging="360"/>
      </w:pPr>
      <w:rPr>
        <w:rFonts w:hint="default" w:ascii="Courier New" w:hAnsi="Courier New"/>
      </w:rPr>
    </w:lvl>
    <w:lvl w:ilvl="2" w:tplc="D29C646C">
      <w:start w:val="1"/>
      <w:numFmt w:val="bullet"/>
      <w:lvlText w:val=""/>
      <w:lvlJc w:val="left"/>
      <w:pPr>
        <w:ind w:left="2160" w:hanging="360"/>
      </w:pPr>
      <w:rPr>
        <w:rFonts w:hint="default" w:ascii="Wingdings" w:hAnsi="Wingdings"/>
      </w:rPr>
    </w:lvl>
    <w:lvl w:ilvl="3" w:tplc="1ED8940E">
      <w:start w:val="1"/>
      <w:numFmt w:val="bullet"/>
      <w:lvlText w:val=""/>
      <w:lvlJc w:val="left"/>
      <w:pPr>
        <w:ind w:left="2880" w:hanging="360"/>
      </w:pPr>
      <w:rPr>
        <w:rFonts w:hint="default" w:ascii="Symbol" w:hAnsi="Symbol"/>
      </w:rPr>
    </w:lvl>
    <w:lvl w:ilvl="4" w:tplc="8AA8E360">
      <w:start w:val="1"/>
      <w:numFmt w:val="bullet"/>
      <w:lvlText w:val="o"/>
      <w:lvlJc w:val="left"/>
      <w:pPr>
        <w:ind w:left="3600" w:hanging="360"/>
      </w:pPr>
      <w:rPr>
        <w:rFonts w:hint="default" w:ascii="Courier New" w:hAnsi="Courier New"/>
      </w:rPr>
    </w:lvl>
    <w:lvl w:ilvl="5" w:tplc="9230D198">
      <w:start w:val="1"/>
      <w:numFmt w:val="bullet"/>
      <w:lvlText w:val=""/>
      <w:lvlJc w:val="left"/>
      <w:pPr>
        <w:ind w:left="4320" w:hanging="360"/>
      </w:pPr>
      <w:rPr>
        <w:rFonts w:hint="default" w:ascii="Wingdings" w:hAnsi="Wingdings"/>
      </w:rPr>
    </w:lvl>
    <w:lvl w:ilvl="6" w:tplc="438CADCC">
      <w:start w:val="1"/>
      <w:numFmt w:val="bullet"/>
      <w:lvlText w:val=""/>
      <w:lvlJc w:val="left"/>
      <w:pPr>
        <w:ind w:left="5040" w:hanging="360"/>
      </w:pPr>
      <w:rPr>
        <w:rFonts w:hint="default" w:ascii="Symbol" w:hAnsi="Symbol"/>
      </w:rPr>
    </w:lvl>
    <w:lvl w:ilvl="7" w:tplc="DE2240F0">
      <w:start w:val="1"/>
      <w:numFmt w:val="bullet"/>
      <w:lvlText w:val="o"/>
      <w:lvlJc w:val="left"/>
      <w:pPr>
        <w:ind w:left="5760" w:hanging="360"/>
      </w:pPr>
      <w:rPr>
        <w:rFonts w:hint="default" w:ascii="Courier New" w:hAnsi="Courier New"/>
      </w:rPr>
    </w:lvl>
    <w:lvl w:ilvl="8" w:tplc="B69CFF26">
      <w:start w:val="1"/>
      <w:numFmt w:val="bullet"/>
      <w:lvlText w:val=""/>
      <w:lvlJc w:val="left"/>
      <w:pPr>
        <w:ind w:left="6480" w:hanging="360"/>
      </w:pPr>
      <w:rPr>
        <w:rFonts w:hint="default" w:ascii="Wingdings" w:hAnsi="Wingdings"/>
      </w:rPr>
    </w:lvl>
  </w:abstractNum>
  <w:abstractNum w:abstractNumId="24" w15:restartNumberingAfterBreak="0">
    <w:nsid w:val="3FB833B6"/>
    <w:multiLevelType w:val="multilevel"/>
    <w:tmpl w:val="31247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1982BF5"/>
    <w:multiLevelType w:val="multilevel"/>
    <w:tmpl w:val="0F1AB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31835BE"/>
    <w:multiLevelType w:val="hybridMultilevel"/>
    <w:tmpl w:val="77BE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CC860"/>
    <w:multiLevelType w:val="hybridMultilevel"/>
    <w:tmpl w:val="22CE7BEE"/>
    <w:lvl w:ilvl="0" w:tplc="C0E6BE08">
      <w:start w:val="1"/>
      <w:numFmt w:val="bullet"/>
      <w:lvlText w:val=""/>
      <w:lvlJc w:val="left"/>
      <w:pPr>
        <w:ind w:left="720" w:hanging="360"/>
      </w:pPr>
      <w:rPr>
        <w:rFonts w:hint="default" w:ascii="Symbol" w:hAnsi="Symbol"/>
      </w:rPr>
    </w:lvl>
    <w:lvl w:ilvl="1" w:tplc="C6CAC754">
      <w:start w:val="1"/>
      <w:numFmt w:val="bullet"/>
      <w:lvlText w:val="o"/>
      <w:lvlJc w:val="left"/>
      <w:pPr>
        <w:ind w:left="1440" w:hanging="360"/>
      </w:pPr>
      <w:rPr>
        <w:rFonts w:hint="default" w:ascii="Courier New" w:hAnsi="Courier New"/>
      </w:rPr>
    </w:lvl>
    <w:lvl w:ilvl="2" w:tplc="61E86A16">
      <w:start w:val="1"/>
      <w:numFmt w:val="bullet"/>
      <w:lvlText w:val=""/>
      <w:lvlJc w:val="left"/>
      <w:pPr>
        <w:ind w:left="2160" w:hanging="360"/>
      </w:pPr>
      <w:rPr>
        <w:rFonts w:hint="default" w:ascii="Wingdings" w:hAnsi="Wingdings"/>
      </w:rPr>
    </w:lvl>
    <w:lvl w:ilvl="3" w:tplc="2922426A">
      <w:start w:val="1"/>
      <w:numFmt w:val="bullet"/>
      <w:lvlText w:val=""/>
      <w:lvlJc w:val="left"/>
      <w:pPr>
        <w:ind w:left="2880" w:hanging="360"/>
      </w:pPr>
      <w:rPr>
        <w:rFonts w:hint="default" w:ascii="Symbol" w:hAnsi="Symbol"/>
      </w:rPr>
    </w:lvl>
    <w:lvl w:ilvl="4" w:tplc="3F4A8C2C">
      <w:start w:val="1"/>
      <w:numFmt w:val="bullet"/>
      <w:lvlText w:val="o"/>
      <w:lvlJc w:val="left"/>
      <w:pPr>
        <w:ind w:left="3600" w:hanging="360"/>
      </w:pPr>
      <w:rPr>
        <w:rFonts w:hint="default" w:ascii="Courier New" w:hAnsi="Courier New"/>
      </w:rPr>
    </w:lvl>
    <w:lvl w:ilvl="5" w:tplc="D5F24E94">
      <w:start w:val="1"/>
      <w:numFmt w:val="bullet"/>
      <w:lvlText w:val=""/>
      <w:lvlJc w:val="left"/>
      <w:pPr>
        <w:ind w:left="4320" w:hanging="360"/>
      </w:pPr>
      <w:rPr>
        <w:rFonts w:hint="default" w:ascii="Wingdings" w:hAnsi="Wingdings"/>
      </w:rPr>
    </w:lvl>
    <w:lvl w:ilvl="6" w:tplc="088AE2E2">
      <w:start w:val="1"/>
      <w:numFmt w:val="bullet"/>
      <w:lvlText w:val=""/>
      <w:lvlJc w:val="left"/>
      <w:pPr>
        <w:ind w:left="5040" w:hanging="360"/>
      </w:pPr>
      <w:rPr>
        <w:rFonts w:hint="default" w:ascii="Symbol" w:hAnsi="Symbol"/>
      </w:rPr>
    </w:lvl>
    <w:lvl w:ilvl="7" w:tplc="BAA008B2">
      <w:start w:val="1"/>
      <w:numFmt w:val="bullet"/>
      <w:lvlText w:val="o"/>
      <w:lvlJc w:val="left"/>
      <w:pPr>
        <w:ind w:left="5760" w:hanging="360"/>
      </w:pPr>
      <w:rPr>
        <w:rFonts w:hint="default" w:ascii="Courier New" w:hAnsi="Courier New"/>
      </w:rPr>
    </w:lvl>
    <w:lvl w:ilvl="8" w:tplc="DD06D660">
      <w:start w:val="1"/>
      <w:numFmt w:val="bullet"/>
      <w:lvlText w:val=""/>
      <w:lvlJc w:val="left"/>
      <w:pPr>
        <w:ind w:left="6480" w:hanging="360"/>
      </w:pPr>
      <w:rPr>
        <w:rFonts w:hint="default" w:ascii="Wingdings" w:hAnsi="Wingdings"/>
      </w:rPr>
    </w:lvl>
  </w:abstractNum>
  <w:abstractNum w:abstractNumId="28" w15:restartNumberingAfterBreak="0">
    <w:nsid w:val="4564F461"/>
    <w:multiLevelType w:val="hybridMultilevel"/>
    <w:tmpl w:val="83921150"/>
    <w:lvl w:ilvl="0" w:tplc="A6A0B73C">
      <w:start w:val="1"/>
      <w:numFmt w:val="decimal"/>
      <w:lvlText w:val="%1."/>
      <w:lvlJc w:val="left"/>
      <w:pPr>
        <w:ind w:left="720" w:hanging="360"/>
      </w:pPr>
    </w:lvl>
    <w:lvl w:ilvl="1" w:tplc="3198E402">
      <w:start w:val="1"/>
      <w:numFmt w:val="bullet"/>
      <w:lvlText w:val="○"/>
      <w:lvlJc w:val="left"/>
      <w:pPr>
        <w:ind w:left="1440" w:hanging="360"/>
      </w:pPr>
      <w:rPr>
        <w:rFonts w:hint="default" w:ascii="Symbol" w:hAnsi="Symbol"/>
      </w:rPr>
    </w:lvl>
    <w:lvl w:ilvl="2" w:tplc="DBDE8076">
      <w:start w:val="1"/>
      <w:numFmt w:val="lowerRoman"/>
      <w:lvlText w:val="%3."/>
      <w:lvlJc w:val="right"/>
      <w:pPr>
        <w:ind w:left="2160" w:hanging="180"/>
      </w:pPr>
    </w:lvl>
    <w:lvl w:ilvl="3" w:tplc="9284354A">
      <w:start w:val="1"/>
      <w:numFmt w:val="decimal"/>
      <w:lvlText w:val="%4."/>
      <w:lvlJc w:val="left"/>
      <w:pPr>
        <w:ind w:left="2880" w:hanging="360"/>
      </w:pPr>
    </w:lvl>
    <w:lvl w:ilvl="4" w:tplc="DDF6A37E">
      <w:start w:val="1"/>
      <w:numFmt w:val="lowerLetter"/>
      <w:lvlText w:val="%5."/>
      <w:lvlJc w:val="left"/>
      <w:pPr>
        <w:ind w:left="3600" w:hanging="360"/>
      </w:pPr>
    </w:lvl>
    <w:lvl w:ilvl="5" w:tplc="887EB324">
      <w:start w:val="1"/>
      <w:numFmt w:val="lowerRoman"/>
      <w:lvlText w:val="%6."/>
      <w:lvlJc w:val="right"/>
      <w:pPr>
        <w:ind w:left="4320" w:hanging="180"/>
      </w:pPr>
    </w:lvl>
    <w:lvl w:ilvl="6" w:tplc="DB421A0C">
      <w:start w:val="1"/>
      <w:numFmt w:val="decimal"/>
      <w:lvlText w:val="%7."/>
      <w:lvlJc w:val="left"/>
      <w:pPr>
        <w:ind w:left="5040" w:hanging="360"/>
      </w:pPr>
    </w:lvl>
    <w:lvl w:ilvl="7" w:tplc="83C825B8">
      <w:start w:val="1"/>
      <w:numFmt w:val="lowerLetter"/>
      <w:lvlText w:val="%8."/>
      <w:lvlJc w:val="left"/>
      <w:pPr>
        <w:ind w:left="5760" w:hanging="360"/>
      </w:pPr>
    </w:lvl>
    <w:lvl w:ilvl="8" w:tplc="75940AE8">
      <w:start w:val="1"/>
      <w:numFmt w:val="lowerRoman"/>
      <w:lvlText w:val="%9."/>
      <w:lvlJc w:val="right"/>
      <w:pPr>
        <w:ind w:left="6480" w:hanging="180"/>
      </w:pPr>
    </w:lvl>
  </w:abstractNum>
  <w:abstractNum w:abstractNumId="29" w15:restartNumberingAfterBreak="0">
    <w:nsid w:val="45C25A1C"/>
    <w:multiLevelType w:val="multilevel"/>
    <w:tmpl w:val="7E24B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905D0E6"/>
    <w:multiLevelType w:val="hybridMultilevel"/>
    <w:tmpl w:val="35E62296"/>
    <w:lvl w:ilvl="0" w:tplc="1EA03A62">
      <w:start w:val="1"/>
      <w:numFmt w:val="bullet"/>
      <w:lvlText w:val=""/>
      <w:lvlJc w:val="left"/>
      <w:pPr>
        <w:ind w:left="720" w:hanging="360"/>
      </w:pPr>
      <w:rPr>
        <w:rFonts w:hint="default" w:ascii="Symbol" w:hAnsi="Symbol"/>
      </w:rPr>
    </w:lvl>
    <w:lvl w:ilvl="1" w:tplc="424E1C26">
      <w:start w:val="1"/>
      <w:numFmt w:val="bullet"/>
      <w:lvlText w:val="o"/>
      <w:lvlJc w:val="left"/>
      <w:pPr>
        <w:ind w:left="1440" w:hanging="360"/>
      </w:pPr>
      <w:rPr>
        <w:rFonts w:hint="default" w:ascii="Courier New" w:hAnsi="Courier New"/>
      </w:rPr>
    </w:lvl>
    <w:lvl w:ilvl="2" w:tplc="1CC27EAA">
      <w:start w:val="1"/>
      <w:numFmt w:val="bullet"/>
      <w:lvlText w:val=""/>
      <w:lvlJc w:val="left"/>
      <w:pPr>
        <w:ind w:left="2160" w:hanging="360"/>
      </w:pPr>
      <w:rPr>
        <w:rFonts w:hint="default" w:ascii="Wingdings" w:hAnsi="Wingdings"/>
      </w:rPr>
    </w:lvl>
    <w:lvl w:ilvl="3" w:tplc="BF5EF810">
      <w:start w:val="1"/>
      <w:numFmt w:val="bullet"/>
      <w:lvlText w:val=""/>
      <w:lvlJc w:val="left"/>
      <w:pPr>
        <w:ind w:left="2880" w:hanging="360"/>
      </w:pPr>
      <w:rPr>
        <w:rFonts w:hint="default" w:ascii="Symbol" w:hAnsi="Symbol"/>
      </w:rPr>
    </w:lvl>
    <w:lvl w:ilvl="4" w:tplc="4A449202">
      <w:start w:val="1"/>
      <w:numFmt w:val="bullet"/>
      <w:lvlText w:val="o"/>
      <w:lvlJc w:val="left"/>
      <w:pPr>
        <w:ind w:left="3600" w:hanging="360"/>
      </w:pPr>
      <w:rPr>
        <w:rFonts w:hint="default" w:ascii="Courier New" w:hAnsi="Courier New"/>
      </w:rPr>
    </w:lvl>
    <w:lvl w:ilvl="5" w:tplc="CB1A31AE">
      <w:start w:val="1"/>
      <w:numFmt w:val="bullet"/>
      <w:lvlText w:val=""/>
      <w:lvlJc w:val="left"/>
      <w:pPr>
        <w:ind w:left="4320" w:hanging="360"/>
      </w:pPr>
      <w:rPr>
        <w:rFonts w:hint="default" w:ascii="Wingdings" w:hAnsi="Wingdings"/>
      </w:rPr>
    </w:lvl>
    <w:lvl w:ilvl="6" w:tplc="58FA0B86">
      <w:start w:val="1"/>
      <w:numFmt w:val="bullet"/>
      <w:lvlText w:val=""/>
      <w:lvlJc w:val="left"/>
      <w:pPr>
        <w:ind w:left="5040" w:hanging="360"/>
      </w:pPr>
      <w:rPr>
        <w:rFonts w:hint="default" w:ascii="Symbol" w:hAnsi="Symbol"/>
      </w:rPr>
    </w:lvl>
    <w:lvl w:ilvl="7" w:tplc="5DDC2A04">
      <w:start w:val="1"/>
      <w:numFmt w:val="bullet"/>
      <w:lvlText w:val="o"/>
      <w:lvlJc w:val="left"/>
      <w:pPr>
        <w:ind w:left="5760" w:hanging="360"/>
      </w:pPr>
      <w:rPr>
        <w:rFonts w:hint="default" w:ascii="Courier New" w:hAnsi="Courier New"/>
      </w:rPr>
    </w:lvl>
    <w:lvl w:ilvl="8" w:tplc="27400FA0">
      <w:start w:val="1"/>
      <w:numFmt w:val="bullet"/>
      <w:lvlText w:val=""/>
      <w:lvlJc w:val="left"/>
      <w:pPr>
        <w:ind w:left="6480" w:hanging="360"/>
      </w:pPr>
      <w:rPr>
        <w:rFonts w:hint="default" w:ascii="Wingdings" w:hAnsi="Wingdings"/>
      </w:rPr>
    </w:lvl>
  </w:abstractNum>
  <w:abstractNum w:abstractNumId="31" w15:restartNumberingAfterBreak="0">
    <w:nsid w:val="4B2E6543"/>
    <w:multiLevelType w:val="multilevel"/>
    <w:tmpl w:val="071E43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BACF83D"/>
    <w:multiLevelType w:val="hybridMultilevel"/>
    <w:tmpl w:val="21840530"/>
    <w:lvl w:ilvl="0" w:tplc="57C69D30">
      <w:start w:val="1"/>
      <w:numFmt w:val="bullet"/>
      <w:lvlText w:val=""/>
      <w:lvlJc w:val="left"/>
      <w:pPr>
        <w:ind w:left="1080" w:hanging="360"/>
      </w:pPr>
      <w:rPr>
        <w:rFonts w:hint="default" w:ascii="Symbol" w:hAnsi="Symbol"/>
      </w:rPr>
    </w:lvl>
    <w:lvl w:ilvl="1" w:tplc="EC0E861C">
      <w:start w:val="1"/>
      <w:numFmt w:val="bullet"/>
      <w:lvlText w:val="o"/>
      <w:lvlJc w:val="left"/>
      <w:pPr>
        <w:ind w:left="1800" w:hanging="360"/>
      </w:pPr>
      <w:rPr>
        <w:rFonts w:hint="default" w:ascii="Courier New" w:hAnsi="Courier New"/>
      </w:rPr>
    </w:lvl>
    <w:lvl w:ilvl="2" w:tplc="885233A0">
      <w:start w:val="1"/>
      <w:numFmt w:val="bullet"/>
      <w:lvlText w:val=""/>
      <w:lvlJc w:val="left"/>
      <w:pPr>
        <w:ind w:left="2520" w:hanging="360"/>
      </w:pPr>
      <w:rPr>
        <w:rFonts w:hint="default" w:ascii="Wingdings" w:hAnsi="Wingdings"/>
      </w:rPr>
    </w:lvl>
    <w:lvl w:ilvl="3" w:tplc="0A0A9720">
      <w:start w:val="1"/>
      <w:numFmt w:val="bullet"/>
      <w:lvlText w:val=""/>
      <w:lvlJc w:val="left"/>
      <w:pPr>
        <w:ind w:left="3240" w:hanging="360"/>
      </w:pPr>
      <w:rPr>
        <w:rFonts w:hint="default" w:ascii="Symbol" w:hAnsi="Symbol"/>
      </w:rPr>
    </w:lvl>
    <w:lvl w:ilvl="4" w:tplc="0D8E5666">
      <w:start w:val="1"/>
      <w:numFmt w:val="bullet"/>
      <w:lvlText w:val="o"/>
      <w:lvlJc w:val="left"/>
      <w:pPr>
        <w:ind w:left="3960" w:hanging="360"/>
      </w:pPr>
      <w:rPr>
        <w:rFonts w:hint="default" w:ascii="Courier New" w:hAnsi="Courier New"/>
      </w:rPr>
    </w:lvl>
    <w:lvl w:ilvl="5" w:tplc="1796163A">
      <w:start w:val="1"/>
      <w:numFmt w:val="bullet"/>
      <w:lvlText w:val=""/>
      <w:lvlJc w:val="left"/>
      <w:pPr>
        <w:ind w:left="4680" w:hanging="360"/>
      </w:pPr>
      <w:rPr>
        <w:rFonts w:hint="default" w:ascii="Wingdings" w:hAnsi="Wingdings"/>
      </w:rPr>
    </w:lvl>
    <w:lvl w:ilvl="6" w:tplc="09D48010">
      <w:start w:val="1"/>
      <w:numFmt w:val="bullet"/>
      <w:lvlText w:val=""/>
      <w:lvlJc w:val="left"/>
      <w:pPr>
        <w:ind w:left="5400" w:hanging="360"/>
      </w:pPr>
      <w:rPr>
        <w:rFonts w:hint="default" w:ascii="Symbol" w:hAnsi="Symbol"/>
      </w:rPr>
    </w:lvl>
    <w:lvl w:ilvl="7" w:tplc="6CCA22A4">
      <w:start w:val="1"/>
      <w:numFmt w:val="bullet"/>
      <w:lvlText w:val="o"/>
      <w:lvlJc w:val="left"/>
      <w:pPr>
        <w:ind w:left="6120" w:hanging="360"/>
      </w:pPr>
      <w:rPr>
        <w:rFonts w:hint="default" w:ascii="Courier New" w:hAnsi="Courier New"/>
      </w:rPr>
    </w:lvl>
    <w:lvl w:ilvl="8" w:tplc="5948B778">
      <w:start w:val="1"/>
      <w:numFmt w:val="bullet"/>
      <w:lvlText w:val=""/>
      <w:lvlJc w:val="left"/>
      <w:pPr>
        <w:ind w:left="6840" w:hanging="360"/>
      </w:pPr>
      <w:rPr>
        <w:rFonts w:hint="default" w:ascii="Wingdings" w:hAnsi="Wingdings"/>
      </w:rPr>
    </w:lvl>
  </w:abstractNum>
  <w:abstractNum w:abstractNumId="33" w15:restartNumberingAfterBreak="0">
    <w:nsid w:val="4C291556"/>
    <w:multiLevelType w:val="multilevel"/>
    <w:tmpl w:val="8474B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C83F69D"/>
    <w:multiLevelType w:val="hybridMultilevel"/>
    <w:tmpl w:val="7C5A2B6A"/>
    <w:lvl w:ilvl="0" w:tplc="E54C4CE8">
      <w:start w:val="1"/>
      <w:numFmt w:val="bullet"/>
      <w:lvlText w:val=""/>
      <w:lvlJc w:val="left"/>
      <w:pPr>
        <w:ind w:left="720" w:hanging="360"/>
      </w:pPr>
      <w:rPr>
        <w:rFonts w:hint="default" w:ascii="Symbol" w:hAnsi="Symbol"/>
      </w:rPr>
    </w:lvl>
    <w:lvl w:ilvl="1" w:tplc="D4C875AA">
      <w:start w:val="1"/>
      <w:numFmt w:val="bullet"/>
      <w:lvlText w:val="o"/>
      <w:lvlJc w:val="left"/>
      <w:pPr>
        <w:ind w:left="1440" w:hanging="360"/>
      </w:pPr>
      <w:rPr>
        <w:rFonts w:hint="default" w:ascii="Courier New" w:hAnsi="Courier New"/>
      </w:rPr>
    </w:lvl>
    <w:lvl w:ilvl="2" w:tplc="83F27FDA">
      <w:start w:val="1"/>
      <w:numFmt w:val="bullet"/>
      <w:lvlText w:val=""/>
      <w:lvlJc w:val="left"/>
      <w:pPr>
        <w:ind w:left="2160" w:hanging="360"/>
      </w:pPr>
      <w:rPr>
        <w:rFonts w:hint="default" w:ascii="Wingdings" w:hAnsi="Wingdings"/>
      </w:rPr>
    </w:lvl>
    <w:lvl w:ilvl="3" w:tplc="7068E43C">
      <w:start w:val="1"/>
      <w:numFmt w:val="bullet"/>
      <w:lvlText w:val=""/>
      <w:lvlJc w:val="left"/>
      <w:pPr>
        <w:ind w:left="2880" w:hanging="360"/>
      </w:pPr>
      <w:rPr>
        <w:rFonts w:hint="default" w:ascii="Symbol" w:hAnsi="Symbol"/>
      </w:rPr>
    </w:lvl>
    <w:lvl w:ilvl="4" w:tplc="502E5096">
      <w:start w:val="1"/>
      <w:numFmt w:val="bullet"/>
      <w:lvlText w:val="o"/>
      <w:lvlJc w:val="left"/>
      <w:pPr>
        <w:ind w:left="3600" w:hanging="360"/>
      </w:pPr>
      <w:rPr>
        <w:rFonts w:hint="default" w:ascii="Courier New" w:hAnsi="Courier New"/>
      </w:rPr>
    </w:lvl>
    <w:lvl w:ilvl="5" w:tplc="EEFAA01E">
      <w:start w:val="1"/>
      <w:numFmt w:val="bullet"/>
      <w:lvlText w:val=""/>
      <w:lvlJc w:val="left"/>
      <w:pPr>
        <w:ind w:left="4320" w:hanging="360"/>
      </w:pPr>
      <w:rPr>
        <w:rFonts w:hint="default" w:ascii="Wingdings" w:hAnsi="Wingdings"/>
      </w:rPr>
    </w:lvl>
    <w:lvl w:ilvl="6" w:tplc="4342C23A">
      <w:start w:val="1"/>
      <w:numFmt w:val="bullet"/>
      <w:lvlText w:val=""/>
      <w:lvlJc w:val="left"/>
      <w:pPr>
        <w:ind w:left="5040" w:hanging="360"/>
      </w:pPr>
      <w:rPr>
        <w:rFonts w:hint="default" w:ascii="Symbol" w:hAnsi="Symbol"/>
      </w:rPr>
    </w:lvl>
    <w:lvl w:ilvl="7" w:tplc="C6149A9E">
      <w:start w:val="1"/>
      <w:numFmt w:val="bullet"/>
      <w:lvlText w:val="o"/>
      <w:lvlJc w:val="left"/>
      <w:pPr>
        <w:ind w:left="5760" w:hanging="360"/>
      </w:pPr>
      <w:rPr>
        <w:rFonts w:hint="default" w:ascii="Courier New" w:hAnsi="Courier New"/>
      </w:rPr>
    </w:lvl>
    <w:lvl w:ilvl="8" w:tplc="33745B38">
      <w:start w:val="1"/>
      <w:numFmt w:val="bullet"/>
      <w:lvlText w:val=""/>
      <w:lvlJc w:val="left"/>
      <w:pPr>
        <w:ind w:left="6480" w:hanging="360"/>
      </w:pPr>
      <w:rPr>
        <w:rFonts w:hint="default" w:ascii="Wingdings" w:hAnsi="Wingdings"/>
      </w:rPr>
    </w:lvl>
  </w:abstractNum>
  <w:abstractNum w:abstractNumId="35" w15:restartNumberingAfterBreak="0">
    <w:nsid w:val="4E025588"/>
    <w:multiLevelType w:val="hybridMultilevel"/>
    <w:tmpl w:val="3438C02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5032D459"/>
    <w:multiLevelType w:val="hybridMultilevel"/>
    <w:tmpl w:val="BFD27842"/>
    <w:lvl w:ilvl="0" w:tplc="EFC63EB4">
      <w:start w:val="1"/>
      <w:numFmt w:val="decimal"/>
      <w:lvlText w:val="%1."/>
      <w:lvlJc w:val="left"/>
      <w:pPr>
        <w:ind w:left="720" w:hanging="360"/>
      </w:pPr>
    </w:lvl>
    <w:lvl w:ilvl="1" w:tplc="EBA247CA">
      <w:start w:val="1"/>
      <w:numFmt w:val="lowerLetter"/>
      <w:lvlText w:val="%2."/>
      <w:lvlJc w:val="left"/>
      <w:pPr>
        <w:ind w:left="1440" w:hanging="360"/>
      </w:pPr>
    </w:lvl>
    <w:lvl w:ilvl="2" w:tplc="96388DEC">
      <w:start w:val="1"/>
      <w:numFmt w:val="lowerRoman"/>
      <w:lvlText w:val="%3."/>
      <w:lvlJc w:val="right"/>
      <w:pPr>
        <w:ind w:left="2160" w:hanging="180"/>
      </w:pPr>
    </w:lvl>
    <w:lvl w:ilvl="3" w:tplc="16A290E8">
      <w:start w:val="1"/>
      <w:numFmt w:val="decimal"/>
      <w:lvlText w:val="%4."/>
      <w:lvlJc w:val="left"/>
      <w:pPr>
        <w:ind w:left="2880" w:hanging="360"/>
      </w:pPr>
    </w:lvl>
    <w:lvl w:ilvl="4" w:tplc="79BA743A">
      <w:start w:val="1"/>
      <w:numFmt w:val="lowerLetter"/>
      <w:lvlText w:val="%5."/>
      <w:lvlJc w:val="left"/>
      <w:pPr>
        <w:ind w:left="3600" w:hanging="360"/>
      </w:pPr>
    </w:lvl>
    <w:lvl w:ilvl="5" w:tplc="4162D6BE">
      <w:start w:val="1"/>
      <w:numFmt w:val="lowerRoman"/>
      <w:lvlText w:val="%6."/>
      <w:lvlJc w:val="right"/>
      <w:pPr>
        <w:ind w:left="4320" w:hanging="180"/>
      </w:pPr>
    </w:lvl>
    <w:lvl w:ilvl="6" w:tplc="F6802B62">
      <w:start w:val="1"/>
      <w:numFmt w:val="decimal"/>
      <w:lvlText w:val="%7."/>
      <w:lvlJc w:val="left"/>
      <w:pPr>
        <w:ind w:left="5040" w:hanging="360"/>
      </w:pPr>
    </w:lvl>
    <w:lvl w:ilvl="7" w:tplc="C63EC236">
      <w:start w:val="1"/>
      <w:numFmt w:val="lowerLetter"/>
      <w:lvlText w:val="%8."/>
      <w:lvlJc w:val="left"/>
      <w:pPr>
        <w:ind w:left="5760" w:hanging="360"/>
      </w:pPr>
    </w:lvl>
    <w:lvl w:ilvl="8" w:tplc="0986CFBA">
      <w:start w:val="1"/>
      <w:numFmt w:val="lowerRoman"/>
      <w:lvlText w:val="%9."/>
      <w:lvlJc w:val="right"/>
      <w:pPr>
        <w:ind w:left="6480" w:hanging="180"/>
      </w:pPr>
    </w:lvl>
  </w:abstractNum>
  <w:abstractNum w:abstractNumId="37" w15:restartNumberingAfterBreak="0">
    <w:nsid w:val="51AED72D"/>
    <w:multiLevelType w:val="hybridMultilevel"/>
    <w:tmpl w:val="4D8EC61E"/>
    <w:lvl w:ilvl="0" w:tplc="EFCAC69E">
      <w:start w:val="1"/>
      <w:numFmt w:val="bullet"/>
      <w:lvlText w:val=""/>
      <w:lvlJc w:val="left"/>
      <w:pPr>
        <w:ind w:left="720" w:hanging="360"/>
      </w:pPr>
      <w:rPr>
        <w:rFonts w:hint="default" w:ascii="Symbol" w:hAnsi="Symbol"/>
      </w:rPr>
    </w:lvl>
    <w:lvl w:ilvl="1" w:tplc="2612ECCC">
      <w:start w:val="1"/>
      <w:numFmt w:val="bullet"/>
      <w:lvlText w:val="o"/>
      <w:lvlJc w:val="left"/>
      <w:pPr>
        <w:ind w:left="1440" w:hanging="360"/>
      </w:pPr>
      <w:rPr>
        <w:rFonts w:hint="default" w:ascii="Courier New" w:hAnsi="Courier New"/>
      </w:rPr>
    </w:lvl>
    <w:lvl w:ilvl="2" w:tplc="D08E7AB0">
      <w:start w:val="1"/>
      <w:numFmt w:val="bullet"/>
      <w:lvlText w:val=""/>
      <w:lvlJc w:val="left"/>
      <w:pPr>
        <w:ind w:left="2160" w:hanging="360"/>
      </w:pPr>
      <w:rPr>
        <w:rFonts w:hint="default" w:ascii="Wingdings" w:hAnsi="Wingdings"/>
      </w:rPr>
    </w:lvl>
    <w:lvl w:ilvl="3" w:tplc="3398B08C">
      <w:start w:val="1"/>
      <w:numFmt w:val="bullet"/>
      <w:lvlText w:val=""/>
      <w:lvlJc w:val="left"/>
      <w:pPr>
        <w:ind w:left="2880" w:hanging="360"/>
      </w:pPr>
      <w:rPr>
        <w:rFonts w:hint="default" w:ascii="Symbol" w:hAnsi="Symbol"/>
      </w:rPr>
    </w:lvl>
    <w:lvl w:ilvl="4" w:tplc="6568B3A0">
      <w:start w:val="1"/>
      <w:numFmt w:val="bullet"/>
      <w:lvlText w:val="o"/>
      <w:lvlJc w:val="left"/>
      <w:pPr>
        <w:ind w:left="3600" w:hanging="360"/>
      </w:pPr>
      <w:rPr>
        <w:rFonts w:hint="default" w:ascii="Courier New" w:hAnsi="Courier New"/>
      </w:rPr>
    </w:lvl>
    <w:lvl w:ilvl="5" w:tplc="88A6C9BC">
      <w:start w:val="1"/>
      <w:numFmt w:val="bullet"/>
      <w:lvlText w:val=""/>
      <w:lvlJc w:val="left"/>
      <w:pPr>
        <w:ind w:left="4320" w:hanging="360"/>
      </w:pPr>
      <w:rPr>
        <w:rFonts w:hint="default" w:ascii="Wingdings" w:hAnsi="Wingdings"/>
      </w:rPr>
    </w:lvl>
    <w:lvl w:ilvl="6" w:tplc="D82C9508">
      <w:start w:val="1"/>
      <w:numFmt w:val="bullet"/>
      <w:lvlText w:val=""/>
      <w:lvlJc w:val="left"/>
      <w:pPr>
        <w:ind w:left="5040" w:hanging="360"/>
      </w:pPr>
      <w:rPr>
        <w:rFonts w:hint="default" w:ascii="Symbol" w:hAnsi="Symbol"/>
      </w:rPr>
    </w:lvl>
    <w:lvl w:ilvl="7" w:tplc="C1346602">
      <w:start w:val="1"/>
      <w:numFmt w:val="bullet"/>
      <w:lvlText w:val="o"/>
      <w:lvlJc w:val="left"/>
      <w:pPr>
        <w:ind w:left="5760" w:hanging="360"/>
      </w:pPr>
      <w:rPr>
        <w:rFonts w:hint="default" w:ascii="Courier New" w:hAnsi="Courier New"/>
      </w:rPr>
    </w:lvl>
    <w:lvl w:ilvl="8" w:tplc="E420404C">
      <w:start w:val="1"/>
      <w:numFmt w:val="bullet"/>
      <w:lvlText w:val=""/>
      <w:lvlJc w:val="left"/>
      <w:pPr>
        <w:ind w:left="6480" w:hanging="360"/>
      </w:pPr>
      <w:rPr>
        <w:rFonts w:hint="default" w:ascii="Wingdings" w:hAnsi="Wingdings"/>
      </w:rPr>
    </w:lvl>
  </w:abstractNum>
  <w:abstractNum w:abstractNumId="38" w15:restartNumberingAfterBreak="0">
    <w:nsid w:val="51F14D51"/>
    <w:multiLevelType w:val="hybridMultilevel"/>
    <w:tmpl w:val="B8B6C7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2ED2488"/>
    <w:multiLevelType w:val="hybridMultilevel"/>
    <w:tmpl w:val="404E410E"/>
    <w:lvl w:ilvl="0" w:tplc="3098925E">
      <w:start w:val="1"/>
      <w:numFmt w:val="bullet"/>
      <w:lvlText w:val=""/>
      <w:lvlJc w:val="left"/>
      <w:pPr>
        <w:ind w:left="720" w:hanging="360"/>
      </w:pPr>
      <w:rPr>
        <w:rFonts w:hint="default" w:ascii="Symbol" w:hAnsi="Symbol"/>
      </w:rPr>
    </w:lvl>
    <w:lvl w:ilvl="1" w:tplc="A03C993A">
      <w:start w:val="1"/>
      <w:numFmt w:val="bullet"/>
      <w:lvlText w:val="o"/>
      <w:lvlJc w:val="left"/>
      <w:pPr>
        <w:ind w:left="1440" w:hanging="360"/>
      </w:pPr>
      <w:rPr>
        <w:rFonts w:hint="default" w:ascii="Courier New" w:hAnsi="Courier New"/>
      </w:rPr>
    </w:lvl>
    <w:lvl w:ilvl="2" w:tplc="AC501C48">
      <w:start w:val="1"/>
      <w:numFmt w:val="bullet"/>
      <w:lvlText w:val=""/>
      <w:lvlJc w:val="left"/>
      <w:pPr>
        <w:ind w:left="2160" w:hanging="360"/>
      </w:pPr>
      <w:rPr>
        <w:rFonts w:hint="default" w:ascii="Wingdings" w:hAnsi="Wingdings"/>
      </w:rPr>
    </w:lvl>
    <w:lvl w:ilvl="3" w:tplc="7EBA212E">
      <w:start w:val="1"/>
      <w:numFmt w:val="bullet"/>
      <w:lvlText w:val=""/>
      <w:lvlJc w:val="left"/>
      <w:pPr>
        <w:ind w:left="2880" w:hanging="360"/>
      </w:pPr>
      <w:rPr>
        <w:rFonts w:hint="default" w:ascii="Symbol" w:hAnsi="Symbol"/>
      </w:rPr>
    </w:lvl>
    <w:lvl w:ilvl="4" w:tplc="4CF26B56">
      <w:start w:val="1"/>
      <w:numFmt w:val="bullet"/>
      <w:lvlText w:val="o"/>
      <w:lvlJc w:val="left"/>
      <w:pPr>
        <w:ind w:left="3600" w:hanging="360"/>
      </w:pPr>
      <w:rPr>
        <w:rFonts w:hint="default" w:ascii="Courier New" w:hAnsi="Courier New"/>
      </w:rPr>
    </w:lvl>
    <w:lvl w:ilvl="5" w:tplc="545A62C4">
      <w:start w:val="1"/>
      <w:numFmt w:val="bullet"/>
      <w:lvlText w:val=""/>
      <w:lvlJc w:val="left"/>
      <w:pPr>
        <w:ind w:left="4320" w:hanging="360"/>
      </w:pPr>
      <w:rPr>
        <w:rFonts w:hint="default" w:ascii="Wingdings" w:hAnsi="Wingdings"/>
      </w:rPr>
    </w:lvl>
    <w:lvl w:ilvl="6" w:tplc="95182CEA">
      <w:start w:val="1"/>
      <w:numFmt w:val="bullet"/>
      <w:lvlText w:val=""/>
      <w:lvlJc w:val="left"/>
      <w:pPr>
        <w:ind w:left="5040" w:hanging="360"/>
      </w:pPr>
      <w:rPr>
        <w:rFonts w:hint="default" w:ascii="Symbol" w:hAnsi="Symbol"/>
      </w:rPr>
    </w:lvl>
    <w:lvl w:ilvl="7" w:tplc="7C4CFF4E">
      <w:start w:val="1"/>
      <w:numFmt w:val="bullet"/>
      <w:lvlText w:val="o"/>
      <w:lvlJc w:val="left"/>
      <w:pPr>
        <w:ind w:left="5760" w:hanging="360"/>
      </w:pPr>
      <w:rPr>
        <w:rFonts w:hint="default" w:ascii="Courier New" w:hAnsi="Courier New"/>
      </w:rPr>
    </w:lvl>
    <w:lvl w:ilvl="8" w:tplc="013EE3A4">
      <w:start w:val="1"/>
      <w:numFmt w:val="bullet"/>
      <w:lvlText w:val=""/>
      <w:lvlJc w:val="left"/>
      <w:pPr>
        <w:ind w:left="6480" w:hanging="360"/>
      </w:pPr>
      <w:rPr>
        <w:rFonts w:hint="default" w:ascii="Wingdings" w:hAnsi="Wingdings"/>
      </w:rPr>
    </w:lvl>
  </w:abstractNum>
  <w:abstractNum w:abstractNumId="40" w15:restartNumberingAfterBreak="0">
    <w:nsid w:val="539841F5"/>
    <w:multiLevelType w:val="multilevel"/>
    <w:tmpl w:val="4B6E5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4FC7F7B"/>
    <w:multiLevelType w:val="hybridMultilevel"/>
    <w:tmpl w:val="EFD8E1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65C7353"/>
    <w:multiLevelType w:val="hybridMultilevel"/>
    <w:tmpl w:val="F99EA7E0"/>
    <w:lvl w:ilvl="0">
      <w:start w:val="1"/>
      <w:numFmt w:val="decimal"/>
      <w:lvlText w:val="%1."/>
      <w:lvlJc w:val="left"/>
      <w:pPr>
        <w:ind w:left="720" w:hanging="360"/>
      </w:pPr>
      <w:rPr/>
    </w:lvl>
    <w:lvl w:ilvl="1" w:tplc="3294A7E0">
      <w:start w:val="1"/>
      <w:numFmt w:val="bullet"/>
      <w:lvlText w:val="o"/>
      <w:lvlJc w:val="left"/>
      <w:pPr>
        <w:ind w:left="1440" w:hanging="360"/>
      </w:pPr>
      <w:rPr>
        <w:rFonts w:hint="default" w:ascii="Courier New" w:hAnsi="Courier New"/>
      </w:rPr>
    </w:lvl>
    <w:lvl w:ilvl="2" w:tplc="C57E0B38">
      <w:start w:val="1"/>
      <w:numFmt w:val="bullet"/>
      <w:lvlText w:val=""/>
      <w:lvlJc w:val="left"/>
      <w:pPr>
        <w:ind w:left="2160" w:hanging="360"/>
      </w:pPr>
      <w:rPr>
        <w:rFonts w:hint="default" w:ascii="Wingdings" w:hAnsi="Wingdings"/>
      </w:rPr>
    </w:lvl>
    <w:lvl w:ilvl="3" w:tplc="BDD4F7C2">
      <w:start w:val="1"/>
      <w:numFmt w:val="bullet"/>
      <w:lvlText w:val=""/>
      <w:lvlJc w:val="left"/>
      <w:pPr>
        <w:ind w:left="2880" w:hanging="360"/>
      </w:pPr>
      <w:rPr>
        <w:rFonts w:hint="default" w:ascii="Symbol" w:hAnsi="Symbol"/>
      </w:rPr>
    </w:lvl>
    <w:lvl w:ilvl="4" w:tplc="51E8C4F6">
      <w:start w:val="1"/>
      <w:numFmt w:val="bullet"/>
      <w:lvlText w:val="o"/>
      <w:lvlJc w:val="left"/>
      <w:pPr>
        <w:ind w:left="3600" w:hanging="360"/>
      </w:pPr>
      <w:rPr>
        <w:rFonts w:hint="default" w:ascii="Courier New" w:hAnsi="Courier New"/>
      </w:rPr>
    </w:lvl>
    <w:lvl w:ilvl="5" w:tplc="C8446E34">
      <w:start w:val="1"/>
      <w:numFmt w:val="bullet"/>
      <w:lvlText w:val=""/>
      <w:lvlJc w:val="left"/>
      <w:pPr>
        <w:ind w:left="4320" w:hanging="360"/>
      </w:pPr>
      <w:rPr>
        <w:rFonts w:hint="default" w:ascii="Wingdings" w:hAnsi="Wingdings"/>
      </w:rPr>
    </w:lvl>
    <w:lvl w:ilvl="6" w:tplc="36E66264">
      <w:start w:val="1"/>
      <w:numFmt w:val="bullet"/>
      <w:lvlText w:val=""/>
      <w:lvlJc w:val="left"/>
      <w:pPr>
        <w:ind w:left="5040" w:hanging="360"/>
      </w:pPr>
      <w:rPr>
        <w:rFonts w:hint="default" w:ascii="Symbol" w:hAnsi="Symbol"/>
      </w:rPr>
    </w:lvl>
    <w:lvl w:ilvl="7" w:tplc="32D20B44">
      <w:start w:val="1"/>
      <w:numFmt w:val="bullet"/>
      <w:lvlText w:val="o"/>
      <w:lvlJc w:val="left"/>
      <w:pPr>
        <w:ind w:left="5760" w:hanging="360"/>
      </w:pPr>
      <w:rPr>
        <w:rFonts w:hint="default" w:ascii="Courier New" w:hAnsi="Courier New"/>
      </w:rPr>
    </w:lvl>
    <w:lvl w:ilvl="8" w:tplc="750CEA22">
      <w:start w:val="1"/>
      <w:numFmt w:val="bullet"/>
      <w:lvlText w:val=""/>
      <w:lvlJc w:val="left"/>
      <w:pPr>
        <w:ind w:left="6480" w:hanging="360"/>
      </w:pPr>
      <w:rPr>
        <w:rFonts w:hint="default" w:ascii="Wingdings" w:hAnsi="Wingdings"/>
      </w:rPr>
    </w:lvl>
  </w:abstractNum>
  <w:abstractNum w:abstractNumId="43" w15:restartNumberingAfterBreak="0">
    <w:nsid w:val="567F3A37"/>
    <w:multiLevelType w:val="hybridMultilevel"/>
    <w:tmpl w:val="66F65942"/>
    <w:lvl w:ilvl="0" w:tplc="A1F83DE4">
      <w:start w:val="1"/>
      <w:numFmt w:val="bullet"/>
      <w:lvlText w:val=""/>
      <w:lvlJc w:val="left"/>
      <w:pPr>
        <w:ind w:left="720" w:hanging="360"/>
      </w:pPr>
      <w:rPr>
        <w:rFonts w:hint="default" w:ascii="Symbol" w:hAnsi="Symbol"/>
      </w:rPr>
    </w:lvl>
    <w:lvl w:ilvl="1" w:tplc="B470A6E0">
      <w:start w:val="1"/>
      <w:numFmt w:val="bullet"/>
      <w:lvlText w:val="o"/>
      <w:lvlJc w:val="left"/>
      <w:pPr>
        <w:ind w:left="1440" w:hanging="360"/>
      </w:pPr>
      <w:rPr>
        <w:rFonts w:hint="default" w:ascii="Courier New" w:hAnsi="Courier New"/>
      </w:rPr>
    </w:lvl>
    <w:lvl w:ilvl="2" w:tplc="5DA4BE0A">
      <w:start w:val="1"/>
      <w:numFmt w:val="bullet"/>
      <w:lvlText w:val=""/>
      <w:lvlJc w:val="left"/>
      <w:pPr>
        <w:ind w:left="2160" w:hanging="360"/>
      </w:pPr>
      <w:rPr>
        <w:rFonts w:hint="default" w:ascii="Wingdings" w:hAnsi="Wingdings"/>
      </w:rPr>
    </w:lvl>
    <w:lvl w:ilvl="3" w:tplc="24BC9162">
      <w:start w:val="1"/>
      <w:numFmt w:val="bullet"/>
      <w:lvlText w:val=""/>
      <w:lvlJc w:val="left"/>
      <w:pPr>
        <w:ind w:left="2880" w:hanging="360"/>
      </w:pPr>
      <w:rPr>
        <w:rFonts w:hint="default" w:ascii="Symbol" w:hAnsi="Symbol"/>
      </w:rPr>
    </w:lvl>
    <w:lvl w:ilvl="4" w:tplc="E94A4E36">
      <w:start w:val="1"/>
      <w:numFmt w:val="bullet"/>
      <w:lvlText w:val="o"/>
      <w:lvlJc w:val="left"/>
      <w:pPr>
        <w:ind w:left="3600" w:hanging="360"/>
      </w:pPr>
      <w:rPr>
        <w:rFonts w:hint="default" w:ascii="Courier New" w:hAnsi="Courier New"/>
      </w:rPr>
    </w:lvl>
    <w:lvl w:ilvl="5" w:tplc="D05E314E">
      <w:start w:val="1"/>
      <w:numFmt w:val="bullet"/>
      <w:lvlText w:val=""/>
      <w:lvlJc w:val="left"/>
      <w:pPr>
        <w:ind w:left="4320" w:hanging="360"/>
      </w:pPr>
      <w:rPr>
        <w:rFonts w:hint="default" w:ascii="Wingdings" w:hAnsi="Wingdings"/>
      </w:rPr>
    </w:lvl>
    <w:lvl w:ilvl="6" w:tplc="E43EB2E6">
      <w:start w:val="1"/>
      <w:numFmt w:val="bullet"/>
      <w:lvlText w:val=""/>
      <w:lvlJc w:val="left"/>
      <w:pPr>
        <w:ind w:left="5040" w:hanging="360"/>
      </w:pPr>
      <w:rPr>
        <w:rFonts w:hint="default" w:ascii="Symbol" w:hAnsi="Symbol"/>
      </w:rPr>
    </w:lvl>
    <w:lvl w:ilvl="7" w:tplc="A07C25C2">
      <w:start w:val="1"/>
      <w:numFmt w:val="bullet"/>
      <w:lvlText w:val="o"/>
      <w:lvlJc w:val="left"/>
      <w:pPr>
        <w:ind w:left="5760" w:hanging="360"/>
      </w:pPr>
      <w:rPr>
        <w:rFonts w:hint="default" w:ascii="Courier New" w:hAnsi="Courier New"/>
      </w:rPr>
    </w:lvl>
    <w:lvl w:ilvl="8" w:tplc="0B5C2372">
      <w:start w:val="1"/>
      <w:numFmt w:val="bullet"/>
      <w:lvlText w:val=""/>
      <w:lvlJc w:val="left"/>
      <w:pPr>
        <w:ind w:left="6480" w:hanging="360"/>
      </w:pPr>
      <w:rPr>
        <w:rFonts w:hint="default" w:ascii="Wingdings" w:hAnsi="Wingdings"/>
      </w:rPr>
    </w:lvl>
  </w:abstractNum>
  <w:abstractNum w:abstractNumId="44" w15:restartNumberingAfterBreak="0">
    <w:nsid w:val="5A180DD6"/>
    <w:multiLevelType w:val="hybridMultilevel"/>
    <w:tmpl w:val="DD6E42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5C4B6279"/>
    <w:multiLevelType w:val="hybridMultilevel"/>
    <w:tmpl w:val="DFC664CA"/>
    <w:lvl w:ilvl="0" w:tplc="07E070A4">
      <w:start w:val="1"/>
      <w:numFmt w:val="bullet"/>
      <w:lvlText w:val=""/>
      <w:lvlJc w:val="left"/>
      <w:pPr>
        <w:ind w:left="1080" w:hanging="360"/>
      </w:pPr>
      <w:rPr>
        <w:rFonts w:hint="default" w:ascii="Symbol" w:hAnsi="Symbol"/>
      </w:rPr>
    </w:lvl>
    <w:lvl w:ilvl="1" w:tplc="9C3404B2">
      <w:start w:val="1"/>
      <w:numFmt w:val="bullet"/>
      <w:lvlText w:val="o"/>
      <w:lvlJc w:val="left"/>
      <w:pPr>
        <w:ind w:left="1800" w:hanging="360"/>
      </w:pPr>
      <w:rPr>
        <w:rFonts w:hint="default" w:ascii="Courier New" w:hAnsi="Courier New"/>
      </w:rPr>
    </w:lvl>
    <w:lvl w:ilvl="2" w:tplc="A0EAB760">
      <w:start w:val="1"/>
      <w:numFmt w:val="bullet"/>
      <w:lvlText w:val=""/>
      <w:lvlJc w:val="left"/>
      <w:pPr>
        <w:ind w:left="2520" w:hanging="360"/>
      </w:pPr>
      <w:rPr>
        <w:rFonts w:hint="default" w:ascii="Wingdings" w:hAnsi="Wingdings"/>
      </w:rPr>
    </w:lvl>
    <w:lvl w:ilvl="3" w:tplc="917488AE">
      <w:start w:val="1"/>
      <w:numFmt w:val="bullet"/>
      <w:lvlText w:val=""/>
      <w:lvlJc w:val="left"/>
      <w:pPr>
        <w:ind w:left="3240" w:hanging="360"/>
      </w:pPr>
      <w:rPr>
        <w:rFonts w:hint="default" w:ascii="Symbol" w:hAnsi="Symbol"/>
      </w:rPr>
    </w:lvl>
    <w:lvl w:ilvl="4" w:tplc="2526A2F8">
      <w:start w:val="1"/>
      <w:numFmt w:val="bullet"/>
      <w:lvlText w:val="o"/>
      <w:lvlJc w:val="left"/>
      <w:pPr>
        <w:ind w:left="3960" w:hanging="360"/>
      </w:pPr>
      <w:rPr>
        <w:rFonts w:hint="default" w:ascii="Courier New" w:hAnsi="Courier New"/>
      </w:rPr>
    </w:lvl>
    <w:lvl w:ilvl="5" w:tplc="86142DCC">
      <w:start w:val="1"/>
      <w:numFmt w:val="bullet"/>
      <w:lvlText w:val=""/>
      <w:lvlJc w:val="left"/>
      <w:pPr>
        <w:ind w:left="4680" w:hanging="360"/>
      </w:pPr>
      <w:rPr>
        <w:rFonts w:hint="default" w:ascii="Wingdings" w:hAnsi="Wingdings"/>
      </w:rPr>
    </w:lvl>
    <w:lvl w:ilvl="6" w:tplc="45589CDC">
      <w:start w:val="1"/>
      <w:numFmt w:val="bullet"/>
      <w:lvlText w:val=""/>
      <w:lvlJc w:val="left"/>
      <w:pPr>
        <w:ind w:left="5400" w:hanging="360"/>
      </w:pPr>
      <w:rPr>
        <w:rFonts w:hint="default" w:ascii="Symbol" w:hAnsi="Symbol"/>
      </w:rPr>
    </w:lvl>
    <w:lvl w:ilvl="7" w:tplc="1FCADD7A">
      <w:start w:val="1"/>
      <w:numFmt w:val="bullet"/>
      <w:lvlText w:val="o"/>
      <w:lvlJc w:val="left"/>
      <w:pPr>
        <w:ind w:left="6120" w:hanging="360"/>
      </w:pPr>
      <w:rPr>
        <w:rFonts w:hint="default" w:ascii="Courier New" w:hAnsi="Courier New"/>
      </w:rPr>
    </w:lvl>
    <w:lvl w:ilvl="8" w:tplc="33025058">
      <w:start w:val="1"/>
      <w:numFmt w:val="bullet"/>
      <w:lvlText w:val=""/>
      <w:lvlJc w:val="left"/>
      <w:pPr>
        <w:ind w:left="6840" w:hanging="360"/>
      </w:pPr>
      <w:rPr>
        <w:rFonts w:hint="default" w:ascii="Wingdings" w:hAnsi="Wingdings"/>
      </w:rPr>
    </w:lvl>
  </w:abstractNum>
  <w:abstractNum w:abstractNumId="46" w15:restartNumberingAfterBreak="0">
    <w:nsid w:val="5EBB75E6"/>
    <w:multiLevelType w:val="multilevel"/>
    <w:tmpl w:val="9BDAA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5EC29A68"/>
    <w:multiLevelType w:val="hybridMultilevel"/>
    <w:tmpl w:val="7C286F88"/>
    <w:lvl w:ilvl="0" w:tplc="30D6CB78">
      <w:start w:val="1"/>
      <w:numFmt w:val="bullet"/>
      <w:lvlText w:val=""/>
      <w:lvlJc w:val="left"/>
      <w:pPr>
        <w:ind w:left="720" w:hanging="360"/>
      </w:pPr>
      <w:rPr>
        <w:rFonts w:hint="default" w:ascii="Symbol" w:hAnsi="Symbol"/>
      </w:rPr>
    </w:lvl>
    <w:lvl w:ilvl="1" w:tplc="5178E0B6">
      <w:start w:val="1"/>
      <w:numFmt w:val="bullet"/>
      <w:lvlText w:val="o"/>
      <w:lvlJc w:val="left"/>
      <w:pPr>
        <w:ind w:left="1440" w:hanging="360"/>
      </w:pPr>
      <w:rPr>
        <w:rFonts w:hint="default" w:ascii="Courier New" w:hAnsi="Courier New"/>
      </w:rPr>
    </w:lvl>
    <w:lvl w:ilvl="2" w:tplc="4D460F0C">
      <w:start w:val="1"/>
      <w:numFmt w:val="bullet"/>
      <w:lvlText w:val=""/>
      <w:lvlJc w:val="left"/>
      <w:pPr>
        <w:ind w:left="2160" w:hanging="360"/>
      </w:pPr>
      <w:rPr>
        <w:rFonts w:hint="default" w:ascii="Wingdings" w:hAnsi="Wingdings"/>
      </w:rPr>
    </w:lvl>
    <w:lvl w:ilvl="3" w:tplc="9D40430A">
      <w:start w:val="1"/>
      <w:numFmt w:val="bullet"/>
      <w:lvlText w:val=""/>
      <w:lvlJc w:val="left"/>
      <w:pPr>
        <w:ind w:left="2880" w:hanging="360"/>
      </w:pPr>
      <w:rPr>
        <w:rFonts w:hint="default" w:ascii="Symbol" w:hAnsi="Symbol"/>
      </w:rPr>
    </w:lvl>
    <w:lvl w:ilvl="4" w:tplc="4A028666">
      <w:start w:val="1"/>
      <w:numFmt w:val="bullet"/>
      <w:lvlText w:val="o"/>
      <w:lvlJc w:val="left"/>
      <w:pPr>
        <w:ind w:left="3600" w:hanging="360"/>
      </w:pPr>
      <w:rPr>
        <w:rFonts w:hint="default" w:ascii="Courier New" w:hAnsi="Courier New"/>
      </w:rPr>
    </w:lvl>
    <w:lvl w:ilvl="5" w:tplc="66CC0D02">
      <w:start w:val="1"/>
      <w:numFmt w:val="bullet"/>
      <w:lvlText w:val=""/>
      <w:lvlJc w:val="left"/>
      <w:pPr>
        <w:ind w:left="4320" w:hanging="360"/>
      </w:pPr>
      <w:rPr>
        <w:rFonts w:hint="default" w:ascii="Wingdings" w:hAnsi="Wingdings"/>
      </w:rPr>
    </w:lvl>
    <w:lvl w:ilvl="6" w:tplc="6AC0D812">
      <w:start w:val="1"/>
      <w:numFmt w:val="bullet"/>
      <w:lvlText w:val=""/>
      <w:lvlJc w:val="left"/>
      <w:pPr>
        <w:ind w:left="5040" w:hanging="360"/>
      </w:pPr>
      <w:rPr>
        <w:rFonts w:hint="default" w:ascii="Symbol" w:hAnsi="Symbol"/>
      </w:rPr>
    </w:lvl>
    <w:lvl w:ilvl="7" w:tplc="DDB638B4">
      <w:start w:val="1"/>
      <w:numFmt w:val="bullet"/>
      <w:lvlText w:val="o"/>
      <w:lvlJc w:val="left"/>
      <w:pPr>
        <w:ind w:left="5760" w:hanging="360"/>
      </w:pPr>
      <w:rPr>
        <w:rFonts w:hint="default" w:ascii="Courier New" w:hAnsi="Courier New"/>
      </w:rPr>
    </w:lvl>
    <w:lvl w:ilvl="8" w:tplc="BBC60C6E">
      <w:start w:val="1"/>
      <w:numFmt w:val="bullet"/>
      <w:lvlText w:val=""/>
      <w:lvlJc w:val="left"/>
      <w:pPr>
        <w:ind w:left="6480" w:hanging="360"/>
      </w:pPr>
      <w:rPr>
        <w:rFonts w:hint="default" w:ascii="Wingdings" w:hAnsi="Wingdings"/>
      </w:rPr>
    </w:lvl>
  </w:abstractNum>
  <w:abstractNum w:abstractNumId="48" w15:restartNumberingAfterBreak="0">
    <w:nsid w:val="5F9AEE46"/>
    <w:multiLevelType w:val="hybridMultilevel"/>
    <w:tmpl w:val="82B8331A"/>
    <w:lvl w:ilvl="0" w:tplc="C024A122">
      <w:start w:val="1"/>
      <w:numFmt w:val="bullet"/>
      <w:lvlText w:val=""/>
      <w:lvlJc w:val="left"/>
      <w:pPr>
        <w:ind w:left="720" w:hanging="360"/>
      </w:pPr>
      <w:rPr>
        <w:rFonts w:hint="default" w:ascii="Symbol" w:hAnsi="Symbol"/>
      </w:rPr>
    </w:lvl>
    <w:lvl w:ilvl="1" w:tplc="45BA773C">
      <w:start w:val="1"/>
      <w:numFmt w:val="bullet"/>
      <w:lvlText w:val="o"/>
      <w:lvlJc w:val="left"/>
      <w:pPr>
        <w:ind w:left="1440" w:hanging="360"/>
      </w:pPr>
      <w:rPr>
        <w:rFonts w:hint="default" w:ascii="Courier New" w:hAnsi="Courier New"/>
      </w:rPr>
    </w:lvl>
    <w:lvl w:ilvl="2" w:tplc="9EACDB5C">
      <w:start w:val="1"/>
      <w:numFmt w:val="bullet"/>
      <w:lvlText w:val=""/>
      <w:lvlJc w:val="left"/>
      <w:pPr>
        <w:ind w:left="2160" w:hanging="360"/>
      </w:pPr>
      <w:rPr>
        <w:rFonts w:hint="default" w:ascii="Wingdings" w:hAnsi="Wingdings"/>
      </w:rPr>
    </w:lvl>
    <w:lvl w:ilvl="3" w:tplc="062AFCD2">
      <w:start w:val="1"/>
      <w:numFmt w:val="bullet"/>
      <w:lvlText w:val=""/>
      <w:lvlJc w:val="left"/>
      <w:pPr>
        <w:ind w:left="2880" w:hanging="360"/>
      </w:pPr>
      <w:rPr>
        <w:rFonts w:hint="default" w:ascii="Symbol" w:hAnsi="Symbol"/>
      </w:rPr>
    </w:lvl>
    <w:lvl w:ilvl="4" w:tplc="C88AE61A">
      <w:start w:val="1"/>
      <w:numFmt w:val="bullet"/>
      <w:lvlText w:val="o"/>
      <w:lvlJc w:val="left"/>
      <w:pPr>
        <w:ind w:left="3600" w:hanging="360"/>
      </w:pPr>
      <w:rPr>
        <w:rFonts w:hint="default" w:ascii="Courier New" w:hAnsi="Courier New"/>
      </w:rPr>
    </w:lvl>
    <w:lvl w:ilvl="5" w:tplc="354ABBA2">
      <w:start w:val="1"/>
      <w:numFmt w:val="bullet"/>
      <w:lvlText w:val=""/>
      <w:lvlJc w:val="left"/>
      <w:pPr>
        <w:ind w:left="4320" w:hanging="360"/>
      </w:pPr>
      <w:rPr>
        <w:rFonts w:hint="default" w:ascii="Wingdings" w:hAnsi="Wingdings"/>
      </w:rPr>
    </w:lvl>
    <w:lvl w:ilvl="6" w:tplc="E55CC198">
      <w:start w:val="1"/>
      <w:numFmt w:val="bullet"/>
      <w:lvlText w:val=""/>
      <w:lvlJc w:val="left"/>
      <w:pPr>
        <w:ind w:left="5040" w:hanging="360"/>
      </w:pPr>
      <w:rPr>
        <w:rFonts w:hint="default" w:ascii="Symbol" w:hAnsi="Symbol"/>
      </w:rPr>
    </w:lvl>
    <w:lvl w:ilvl="7" w:tplc="67964B00">
      <w:start w:val="1"/>
      <w:numFmt w:val="bullet"/>
      <w:lvlText w:val="o"/>
      <w:lvlJc w:val="left"/>
      <w:pPr>
        <w:ind w:left="5760" w:hanging="360"/>
      </w:pPr>
      <w:rPr>
        <w:rFonts w:hint="default" w:ascii="Courier New" w:hAnsi="Courier New"/>
      </w:rPr>
    </w:lvl>
    <w:lvl w:ilvl="8" w:tplc="AB02E998">
      <w:start w:val="1"/>
      <w:numFmt w:val="bullet"/>
      <w:lvlText w:val=""/>
      <w:lvlJc w:val="left"/>
      <w:pPr>
        <w:ind w:left="6480" w:hanging="360"/>
      </w:pPr>
      <w:rPr>
        <w:rFonts w:hint="default" w:ascii="Wingdings" w:hAnsi="Wingdings"/>
      </w:rPr>
    </w:lvl>
  </w:abstractNum>
  <w:abstractNum w:abstractNumId="49" w15:restartNumberingAfterBreak="0">
    <w:nsid w:val="6233098B"/>
    <w:multiLevelType w:val="multilevel"/>
    <w:tmpl w:val="A3740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398B6E6"/>
    <w:multiLevelType w:val="hybridMultilevel"/>
    <w:tmpl w:val="A5EE39AE"/>
    <w:lvl w:ilvl="0" w:tplc="19645404">
      <w:start w:val="1"/>
      <w:numFmt w:val="bullet"/>
      <w:lvlText w:val=""/>
      <w:lvlJc w:val="left"/>
      <w:pPr>
        <w:ind w:left="720" w:hanging="360"/>
      </w:pPr>
      <w:rPr>
        <w:rFonts w:hint="default" w:ascii="Symbol" w:hAnsi="Symbol"/>
      </w:rPr>
    </w:lvl>
    <w:lvl w:ilvl="1" w:tplc="AC26C6F8">
      <w:start w:val="1"/>
      <w:numFmt w:val="bullet"/>
      <w:lvlText w:val="o"/>
      <w:lvlJc w:val="left"/>
      <w:pPr>
        <w:ind w:left="1440" w:hanging="360"/>
      </w:pPr>
      <w:rPr>
        <w:rFonts w:hint="default" w:ascii="Courier New" w:hAnsi="Courier New"/>
      </w:rPr>
    </w:lvl>
    <w:lvl w:ilvl="2" w:tplc="BF26BA3C">
      <w:start w:val="1"/>
      <w:numFmt w:val="bullet"/>
      <w:lvlText w:val=""/>
      <w:lvlJc w:val="left"/>
      <w:pPr>
        <w:ind w:left="2160" w:hanging="360"/>
      </w:pPr>
      <w:rPr>
        <w:rFonts w:hint="default" w:ascii="Wingdings" w:hAnsi="Wingdings"/>
      </w:rPr>
    </w:lvl>
    <w:lvl w:ilvl="3" w:tplc="291A3616">
      <w:start w:val="1"/>
      <w:numFmt w:val="bullet"/>
      <w:lvlText w:val=""/>
      <w:lvlJc w:val="left"/>
      <w:pPr>
        <w:ind w:left="2880" w:hanging="360"/>
      </w:pPr>
      <w:rPr>
        <w:rFonts w:hint="default" w:ascii="Symbol" w:hAnsi="Symbol"/>
      </w:rPr>
    </w:lvl>
    <w:lvl w:ilvl="4" w:tplc="7416F112">
      <w:start w:val="1"/>
      <w:numFmt w:val="bullet"/>
      <w:lvlText w:val="o"/>
      <w:lvlJc w:val="left"/>
      <w:pPr>
        <w:ind w:left="3600" w:hanging="360"/>
      </w:pPr>
      <w:rPr>
        <w:rFonts w:hint="default" w:ascii="Courier New" w:hAnsi="Courier New"/>
      </w:rPr>
    </w:lvl>
    <w:lvl w:ilvl="5" w:tplc="05862EE4">
      <w:start w:val="1"/>
      <w:numFmt w:val="bullet"/>
      <w:lvlText w:val=""/>
      <w:lvlJc w:val="left"/>
      <w:pPr>
        <w:ind w:left="4320" w:hanging="360"/>
      </w:pPr>
      <w:rPr>
        <w:rFonts w:hint="default" w:ascii="Wingdings" w:hAnsi="Wingdings"/>
      </w:rPr>
    </w:lvl>
    <w:lvl w:ilvl="6" w:tplc="35C8C6C4">
      <w:start w:val="1"/>
      <w:numFmt w:val="bullet"/>
      <w:lvlText w:val=""/>
      <w:lvlJc w:val="left"/>
      <w:pPr>
        <w:ind w:left="5040" w:hanging="360"/>
      </w:pPr>
      <w:rPr>
        <w:rFonts w:hint="default" w:ascii="Symbol" w:hAnsi="Symbol"/>
      </w:rPr>
    </w:lvl>
    <w:lvl w:ilvl="7" w:tplc="EFD8BEBE">
      <w:start w:val="1"/>
      <w:numFmt w:val="bullet"/>
      <w:lvlText w:val="o"/>
      <w:lvlJc w:val="left"/>
      <w:pPr>
        <w:ind w:left="5760" w:hanging="360"/>
      </w:pPr>
      <w:rPr>
        <w:rFonts w:hint="default" w:ascii="Courier New" w:hAnsi="Courier New"/>
      </w:rPr>
    </w:lvl>
    <w:lvl w:ilvl="8" w:tplc="FA147CDA">
      <w:start w:val="1"/>
      <w:numFmt w:val="bullet"/>
      <w:lvlText w:val=""/>
      <w:lvlJc w:val="left"/>
      <w:pPr>
        <w:ind w:left="6480" w:hanging="360"/>
      </w:pPr>
      <w:rPr>
        <w:rFonts w:hint="default" w:ascii="Wingdings" w:hAnsi="Wingdings"/>
      </w:rPr>
    </w:lvl>
  </w:abstractNum>
  <w:abstractNum w:abstractNumId="51" w15:restartNumberingAfterBreak="0">
    <w:nsid w:val="64D17631"/>
    <w:multiLevelType w:val="multilevel"/>
    <w:tmpl w:val="E984F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54F6237"/>
    <w:multiLevelType w:val="multilevel"/>
    <w:tmpl w:val="5674F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B3B0D41"/>
    <w:multiLevelType w:val="hybridMultilevel"/>
    <w:tmpl w:val="C4188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3752C8"/>
    <w:multiLevelType w:val="hybridMultilevel"/>
    <w:tmpl w:val="337EC8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5" w15:restartNumberingAfterBreak="0">
    <w:nsid w:val="706A7277"/>
    <w:multiLevelType w:val="hybridMultilevel"/>
    <w:tmpl w:val="64709F12"/>
    <w:lvl w:ilvl="0" w:tplc="E6C22FEC">
      <w:start w:val="1"/>
      <w:numFmt w:val="bullet"/>
      <w:lvlText w:val=""/>
      <w:lvlJc w:val="left"/>
      <w:pPr>
        <w:ind w:left="720" w:hanging="360"/>
      </w:pPr>
      <w:rPr>
        <w:rFonts w:hint="default" w:ascii="Symbol" w:hAnsi="Symbol"/>
      </w:rPr>
    </w:lvl>
    <w:lvl w:ilvl="1" w:tplc="FCDC28EA">
      <w:start w:val="1"/>
      <w:numFmt w:val="bullet"/>
      <w:lvlText w:val="o"/>
      <w:lvlJc w:val="left"/>
      <w:pPr>
        <w:ind w:left="1440" w:hanging="360"/>
      </w:pPr>
      <w:rPr>
        <w:rFonts w:hint="default" w:ascii="Courier New" w:hAnsi="Courier New"/>
      </w:rPr>
    </w:lvl>
    <w:lvl w:ilvl="2" w:tplc="16C027C8">
      <w:start w:val="1"/>
      <w:numFmt w:val="bullet"/>
      <w:lvlText w:val=""/>
      <w:lvlJc w:val="left"/>
      <w:pPr>
        <w:ind w:left="2160" w:hanging="360"/>
      </w:pPr>
      <w:rPr>
        <w:rFonts w:hint="default" w:ascii="Wingdings" w:hAnsi="Wingdings"/>
      </w:rPr>
    </w:lvl>
    <w:lvl w:ilvl="3" w:tplc="8FA674BC">
      <w:start w:val="1"/>
      <w:numFmt w:val="bullet"/>
      <w:lvlText w:val=""/>
      <w:lvlJc w:val="left"/>
      <w:pPr>
        <w:ind w:left="2880" w:hanging="360"/>
      </w:pPr>
      <w:rPr>
        <w:rFonts w:hint="default" w:ascii="Symbol" w:hAnsi="Symbol"/>
      </w:rPr>
    </w:lvl>
    <w:lvl w:ilvl="4" w:tplc="AF443A9E">
      <w:start w:val="1"/>
      <w:numFmt w:val="bullet"/>
      <w:lvlText w:val="o"/>
      <w:lvlJc w:val="left"/>
      <w:pPr>
        <w:ind w:left="3600" w:hanging="360"/>
      </w:pPr>
      <w:rPr>
        <w:rFonts w:hint="default" w:ascii="Courier New" w:hAnsi="Courier New"/>
      </w:rPr>
    </w:lvl>
    <w:lvl w:ilvl="5" w:tplc="19D0A1EA">
      <w:start w:val="1"/>
      <w:numFmt w:val="bullet"/>
      <w:lvlText w:val=""/>
      <w:lvlJc w:val="left"/>
      <w:pPr>
        <w:ind w:left="4320" w:hanging="360"/>
      </w:pPr>
      <w:rPr>
        <w:rFonts w:hint="default" w:ascii="Wingdings" w:hAnsi="Wingdings"/>
      </w:rPr>
    </w:lvl>
    <w:lvl w:ilvl="6" w:tplc="0E0ADC32">
      <w:start w:val="1"/>
      <w:numFmt w:val="bullet"/>
      <w:lvlText w:val=""/>
      <w:lvlJc w:val="left"/>
      <w:pPr>
        <w:ind w:left="5040" w:hanging="360"/>
      </w:pPr>
      <w:rPr>
        <w:rFonts w:hint="default" w:ascii="Symbol" w:hAnsi="Symbol"/>
      </w:rPr>
    </w:lvl>
    <w:lvl w:ilvl="7" w:tplc="1EC23F78">
      <w:start w:val="1"/>
      <w:numFmt w:val="bullet"/>
      <w:lvlText w:val="o"/>
      <w:lvlJc w:val="left"/>
      <w:pPr>
        <w:ind w:left="5760" w:hanging="360"/>
      </w:pPr>
      <w:rPr>
        <w:rFonts w:hint="default" w:ascii="Courier New" w:hAnsi="Courier New"/>
      </w:rPr>
    </w:lvl>
    <w:lvl w:ilvl="8" w:tplc="593266DA">
      <w:start w:val="1"/>
      <w:numFmt w:val="bullet"/>
      <w:lvlText w:val=""/>
      <w:lvlJc w:val="left"/>
      <w:pPr>
        <w:ind w:left="6480" w:hanging="360"/>
      </w:pPr>
      <w:rPr>
        <w:rFonts w:hint="default" w:ascii="Wingdings" w:hAnsi="Wingdings"/>
      </w:rPr>
    </w:lvl>
  </w:abstractNum>
  <w:abstractNum w:abstractNumId="56" w15:restartNumberingAfterBreak="0">
    <w:nsid w:val="724649CA"/>
    <w:multiLevelType w:val="multilevel"/>
    <w:tmpl w:val="4148F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2DDE99A"/>
    <w:multiLevelType w:val="hybridMultilevel"/>
    <w:tmpl w:val="B1AEF13E"/>
    <w:lvl w:ilvl="0" w:tplc="7F52FE9C">
      <w:start w:val="1"/>
      <w:numFmt w:val="bullet"/>
      <w:lvlText w:val=""/>
      <w:lvlJc w:val="left"/>
      <w:pPr>
        <w:ind w:left="1080" w:hanging="360"/>
      </w:pPr>
      <w:rPr>
        <w:rFonts w:hint="default" w:ascii="Symbol" w:hAnsi="Symbol"/>
      </w:rPr>
    </w:lvl>
    <w:lvl w:ilvl="1" w:tplc="64324BE2">
      <w:start w:val="1"/>
      <w:numFmt w:val="bullet"/>
      <w:lvlText w:val="o"/>
      <w:lvlJc w:val="left"/>
      <w:pPr>
        <w:ind w:left="1800" w:hanging="360"/>
      </w:pPr>
      <w:rPr>
        <w:rFonts w:hint="default" w:ascii="Courier New" w:hAnsi="Courier New"/>
      </w:rPr>
    </w:lvl>
    <w:lvl w:ilvl="2" w:tplc="91B07A1A">
      <w:start w:val="1"/>
      <w:numFmt w:val="bullet"/>
      <w:lvlText w:val=""/>
      <w:lvlJc w:val="left"/>
      <w:pPr>
        <w:ind w:left="2520" w:hanging="360"/>
      </w:pPr>
      <w:rPr>
        <w:rFonts w:hint="default" w:ascii="Wingdings" w:hAnsi="Wingdings"/>
      </w:rPr>
    </w:lvl>
    <w:lvl w:ilvl="3" w:tplc="93080610">
      <w:start w:val="1"/>
      <w:numFmt w:val="bullet"/>
      <w:lvlText w:val=""/>
      <w:lvlJc w:val="left"/>
      <w:pPr>
        <w:ind w:left="3240" w:hanging="360"/>
      </w:pPr>
      <w:rPr>
        <w:rFonts w:hint="default" w:ascii="Symbol" w:hAnsi="Symbol"/>
      </w:rPr>
    </w:lvl>
    <w:lvl w:ilvl="4" w:tplc="EC26FE82">
      <w:start w:val="1"/>
      <w:numFmt w:val="bullet"/>
      <w:lvlText w:val="o"/>
      <w:lvlJc w:val="left"/>
      <w:pPr>
        <w:ind w:left="3960" w:hanging="360"/>
      </w:pPr>
      <w:rPr>
        <w:rFonts w:hint="default" w:ascii="Courier New" w:hAnsi="Courier New"/>
      </w:rPr>
    </w:lvl>
    <w:lvl w:ilvl="5" w:tplc="61D246A2">
      <w:start w:val="1"/>
      <w:numFmt w:val="bullet"/>
      <w:lvlText w:val=""/>
      <w:lvlJc w:val="left"/>
      <w:pPr>
        <w:ind w:left="4680" w:hanging="360"/>
      </w:pPr>
      <w:rPr>
        <w:rFonts w:hint="default" w:ascii="Wingdings" w:hAnsi="Wingdings"/>
      </w:rPr>
    </w:lvl>
    <w:lvl w:ilvl="6" w:tplc="391433B6">
      <w:start w:val="1"/>
      <w:numFmt w:val="bullet"/>
      <w:lvlText w:val=""/>
      <w:lvlJc w:val="left"/>
      <w:pPr>
        <w:ind w:left="5400" w:hanging="360"/>
      </w:pPr>
      <w:rPr>
        <w:rFonts w:hint="default" w:ascii="Symbol" w:hAnsi="Symbol"/>
      </w:rPr>
    </w:lvl>
    <w:lvl w:ilvl="7" w:tplc="33EAFDEC">
      <w:start w:val="1"/>
      <w:numFmt w:val="bullet"/>
      <w:lvlText w:val="o"/>
      <w:lvlJc w:val="left"/>
      <w:pPr>
        <w:ind w:left="6120" w:hanging="360"/>
      </w:pPr>
      <w:rPr>
        <w:rFonts w:hint="default" w:ascii="Courier New" w:hAnsi="Courier New"/>
      </w:rPr>
    </w:lvl>
    <w:lvl w:ilvl="8" w:tplc="05A62FD0">
      <w:start w:val="1"/>
      <w:numFmt w:val="bullet"/>
      <w:lvlText w:val=""/>
      <w:lvlJc w:val="left"/>
      <w:pPr>
        <w:ind w:left="6840" w:hanging="360"/>
      </w:pPr>
      <w:rPr>
        <w:rFonts w:hint="default" w:ascii="Wingdings" w:hAnsi="Wingdings"/>
      </w:rPr>
    </w:lvl>
  </w:abstractNum>
  <w:abstractNum w:abstractNumId="58" w15:restartNumberingAfterBreak="0">
    <w:nsid w:val="734623A1"/>
    <w:multiLevelType w:val="multilevel"/>
    <w:tmpl w:val="0B121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779567B4"/>
    <w:multiLevelType w:val="hybridMultilevel"/>
    <w:tmpl w:val="677C7F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AEC7C26"/>
    <w:multiLevelType w:val="multilevel"/>
    <w:tmpl w:val="184A4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C3D0829"/>
    <w:multiLevelType w:val="multilevel"/>
    <w:tmpl w:val="842C1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CF7A247"/>
    <w:multiLevelType w:val="hybridMultilevel"/>
    <w:tmpl w:val="51E2CA6E"/>
    <w:lvl w:ilvl="0" w:tplc="8C4EFE2E">
      <w:start w:val="1"/>
      <w:numFmt w:val="bullet"/>
      <w:lvlText w:val=""/>
      <w:lvlJc w:val="left"/>
      <w:pPr>
        <w:ind w:left="720" w:hanging="360"/>
      </w:pPr>
      <w:rPr>
        <w:rFonts w:hint="default" w:ascii="Symbol" w:hAnsi="Symbol"/>
      </w:rPr>
    </w:lvl>
    <w:lvl w:ilvl="1" w:tplc="BEC88FE0">
      <w:start w:val="1"/>
      <w:numFmt w:val="bullet"/>
      <w:lvlText w:val="o"/>
      <w:lvlJc w:val="left"/>
      <w:pPr>
        <w:ind w:left="1440" w:hanging="360"/>
      </w:pPr>
      <w:rPr>
        <w:rFonts w:hint="default" w:ascii="Courier New" w:hAnsi="Courier New"/>
      </w:rPr>
    </w:lvl>
    <w:lvl w:ilvl="2" w:tplc="F734529C">
      <w:start w:val="1"/>
      <w:numFmt w:val="bullet"/>
      <w:lvlText w:val=""/>
      <w:lvlJc w:val="left"/>
      <w:pPr>
        <w:ind w:left="2160" w:hanging="360"/>
      </w:pPr>
      <w:rPr>
        <w:rFonts w:hint="default" w:ascii="Wingdings" w:hAnsi="Wingdings"/>
      </w:rPr>
    </w:lvl>
    <w:lvl w:ilvl="3" w:tplc="958ED54E">
      <w:start w:val="1"/>
      <w:numFmt w:val="bullet"/>
      <w:lvlText w:val=""/>
      <w:lvlJc w:val="left"/>
      <w:pPr>
        <w:ind w:left="2880" w:hanging="360"/>
      </w:pPr>
      <w:rPr>
        <w:rFonts w:hint="default" w:ascii="Symbol" w:hAnsi="Symbol"/>
      </w:rPr>
    </w:lvl>
    <w:lvl w:ilvl="4" w:tplc="D24644FC">
      <w:start w:val="1"/>
      <w:numFmt w:val="bullet"/>
      <w:lvlText w:val="o"/>
      <w:lvlJc w:val="left"/>
      <w:pPr>
        <w:ind w:left="3600" w:hanging="360"/>
      </w:pPr>
      <w:rPr>
        <w:rFonts w:hint="default" w:ascii="Courier New" w:hAnsi="Courier New"/>
      </w:rPr>
    </w:lvl>
    <w:lvl w:ilvl="5" w:tplc="C7EEAD78">
      <w:start w:val="1"/>
      <w:numFmt w:val="bullet"/>
      <w:lvlText w:val=""/>
      <w:lvlJc w:val="left"/>
      <w:pPr>
        <w:ind w:left="4320" w:hanging="360"/>
      </w:pPr>
      <w:rPr>
        <w:rFonts w:hint="default" w:ascii="Wingdings" w:hAnsi="Wingdings"/>
      </w:rPr>
    </w:lvl>
    <w:lvl w:ilvl="6" w:tplc="66289580">
      <w:start w:val="1"/>
      <w:numFmt w:val="bullet"/>
      <w:lvlText w:val=""/>
      <w:lvlJc w:val="left"/>
      <w:pPr>
        <w:ind w:left="5040" w:hanging="360"/>
      </w:pPr>
      <w:rPr>
        <w:rFonts w:hint="default" w:ascii="Symbol" w:hAnsi="Symbol"/>
      </w:rPr>
    </w:lvl>
    <w:lvl w:ilvl="7" w:tplc="D3F6217A">
      <w:start w:val="1"/>
      <w:numFmt w:val="bullet"/>
      <w:lvlText w:val="o"/>
      <w:lvlJc w:val="left"/>
      <w:pPr>
        <w:ind w:left="5760" w:hanging="360"/>
      </w:pPr>
      <w:rPr>
        <w:rFonts w:hint="default" w:ascii="Courier New" w:hAnsi="Courier New"/>
      </w:rPr>
    </w:lvl>
    <w:lvl w:ilvl="8" w:tplc="B9C2BDCE">
      <w:start w:val="1"/>
      <w:numFmt w:val="bullet"/>
      <w:lvlText w:val=""/>
      <w:lvlJc w:val="left"/>
      <w:pPr>
        <w:ind w:left="6480" w:hanging="360"/>
      </w:pPr>
      <w:rPr>
        <w:rFonts w:hint="default" w:ascii="Wingdings" w:hAnsi="Wingdings"/>
      </w:rPr>
    </w:lvl>
  </w:abstractNum>
  <w:abstractNum w:abstractNumId="63" w15:restartNumberingAfterBreak="0">
    <w:nsid w:val="7DC95A90"/>
    <w:multiLevelType w:val="hybridMultilevel"/>
    <w:tmpl w:val="3650EFB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65">
    <w:abstractNumId w:val="64"/>
  </w:num>
  <w:num w:numId="1" w16cid:durableId="1063335347">
    <w:abstractNumId w:val="34"/>
  </w:num>
  <w:num w:numId="2" w16cid:durableId="1950698503">
    <w:abstractNumId w:val="42"/>
  </w:num>
  <w:num w:numId="3" w16cid:durableId="1617062224">
    <w:abstractNumId w:val="14"/>
  </w:num>
  <w:num w:numId="4" w16cid:durableId="1677608749">
    <w:abstractNumId w:val="7"/>
  </w:num>
  <w:num w:numId="5" w16cid:durableId="1180705445">
    <w:abstractNumId w:val="28"/>
  </w:num>
  <w:num w:numId="6" w16cid:durableId="1750687172">
    <w:abstractNumId w:val="2"/>
  </w:num>
  <w:num w:numId="7" w16cid:durableId="1044519699">
    <w:abstractNumId w:val="55"/>
  </w:num>
  <w:num w:numId="8" w16cid:durableId="1046103185">
    <w:abstractNumId w:val="51"/>
  </w:num>
  <w:num w:numId="9" w16cid:durableId="1115520317">
    <w:abstractNumId w:val="61"/>
  </w:num>
  <w:num w:numId="10" w16cid:durableId="1248734446">
    <w:abstractNumId w:val="47"/>
  </w:num>
  <w:num w:numId="11" w16cid:durableId="1260408536">
    <w:abstractNumId w:val="31"/>
  </w:num>
  <w:num w:numId="12" w16cid:durableId="1266353528">
    <w:abstractNumId w:val="48"/>
  </w:num>
  <w:num w:numId="13" w16cid:durableId="1267037117">
    <w:abstractNumId w:val="18"/>
  </w:num>
  <w:num w:numId="14" w16cid:durableId="1298297153">
    <w:abstractNumId w:val="3"/>
  </w:num>
  <w:num w:numId="15" w16cid:durableId="1314523305">
    <w:abstractNumId w:val="39"/>
  </w:num>
  <w:num w:numId="16" w16cid:durableId="1344363077">
    <w:abstractNumId w:val="5"/>
  </w:num>
  <w:num w:numId="17" w16cid:durableId="1413164758">
    <w:abstractNumId w:val="37"/>
  </w:num>
  <w:num w:numId="18" w16cid:durableId="1425806009">
    <w:abstractNumId w:val="19"/>
  </w:num>
  <w:num w:numId="19" w16cid:durableId="1516843919">
    <w:abstractNumId w:val="43"/>
  </w:num>
  <w:num w:numId="20" w16cid:durableId="1518929413">
    <w:abstractNumId w:val="1"/>
  </w:num>
  <w:num w:numId="21" w16cid:durableId="162203368">
    <w:abstractNumId w:val="16"/>
  </w:num>
  <w:num w:numId="22" w16cid:durableId="16469421">
    <w:abstractNumId w:val="17"/>
  </w:num>
  <w:num w:numId="23" w16cid:durableId="1658262763">
    <w:abstractNumId w:val="24"/>
  </w:num>
  <w:num w:numId="24" w16cid:durableId="1731685522">
    <w:abstractNumId w:val="53"/>
  </w:num>
  <w:num w:numId="25" w16cid:durableId="1801026464">
    <w:abstractNumId w:val="32"/>
  </w:num>
  <w:num w:numId="26" w16cid:durableId="184558291">
    <w:abstractNumId w:val="52"/>
  </w:num>
  <w:num w:numId="27" w16cid:durableId="1910194487">
    <w:abstractNumId w:val="50"/>
  </w:num>
  <w:num w:numId="28" w16cid:durableId="1940332472">
    <w:abstractNumId w:val="20"/>
  </w:num>
  <w:num w:numId="29" w16cid:durableId="2067100155">
    <w:abstractNumId w:val="30"/>
  </w:num>
  <w:num w:numId="30" w16cid:durableId="2137940654">
    <w:abstractNumId w:val="23"/>
  </w:num>
  <w:num w:numId="31" w16cid:durableId="2144226923">
    <w:abstractNumId w:val="27"/>
  </w:num>
  <w:num w:numId="32" w16cid:durableId="232737545">
    <w:abstractNumId w:val="22"/>
  </w:num>
  <w:num w:numId="33" w16cid:durableId="327439563">
    <w:abstractNumId w:val="58"/>
  </w:num>
  <w:num w:numId="34" w16cid:durableId="368845407">
    <w:abstractNumId w:val="57"/>
  </w:num>
  <w:num w:numId="35" w16cid:durableId="38865337">
    <w:abstractNumId w:val="26"/>
  </w:num>
  <w:num w:numId="36" w16cid:durableId="541091711">
    <w:abstractNumId w:val="13"/>
  </w:num>
  <w:num w:numId="37" w16cid:durableId="562524463">
    <w:abstractNumId w:val="62"/>
  </w:num>
  <w:num w:numId="38" w16cid:durableId="689841393">
    <w:abstractNumId w:val="15"/>
  </w:num>
  <w:num w:numId="39" w16cid:durableId="69933189">
    <w:abstractNumId w:val="36"/>
  </w:num>
  <w:num w:numId="40" w16cid:durableId="747653411">
    <w:abstractNumId w:val="4"/>
  </w:num>
  <w:num w:numId="41" w16cid:durableId="800657329">
    <w:abstractNumId w:val="45"/>
  </w:num>
  <w:num w:numId="42" w16cid:durableId="846555413">
    <w:abstractNumId w:val="11"/>
  </w:num>
  <w:num w:numId="43" w16cid:durableId="891962212">
    <w:abstractNumId w:val="12"/>
  </w:num>
  <w:num w:numId="44" w16cid:durableId="1278634805">
    <w:abstractNumId w:val="33"/>
  </w:num>
  <w:num w:numId="45" w16cid:durableId="1236353240">
    <w:abstractNumId w:val="9"/>
  </w:num>
  <w:num w:numId="46" w16cid:durableId="46148221">
    <w:abstractNumId w:val="56"/>
  </w:num>
  <w:num w:numId="47" w16cid:durableId="523396554">
    <w:abstractNumId w:val="25"/>
  </w:num>
  <w:num w:numId="48" w16cid:durableId="267354029">
    <w:abstractNumId w:val="29"/>
  </w:num>
  <w:num w:numId="49" w16cid:durableId="605381040">
    <w:abstractNumId w:val="46"/>
  </w:num>
  <w:num w:numId="50" w16cid:durableId="979579698">
    <w:abstractNumId w:val="60"/>
  </w:num>
  <w:num w:numId="51" w16cid:durableId="1055929792">
    <w:abstractNumId w:val="21"/>
  </w:num>
  <w:num w:numId="52" w16cid:durableId="644428378">
    <w:abstractNumId w:val="40"/>
  </w:num>
  <w:num w:numId="53" w16cid:durableId="1369913677">
    <w:abstractNumId w:val="49"/>
  </w:num>
  <w:num w:numId="54" w16cid:durableId="2033332903">
    <w:abstractNumId w:val="6"/>
  </w:num>
  <w:num w:numId="55" w16cid:durableId="1764567543">
    <w:abstractNumId w:val="0"/>
  </w:num>
  <w:num w:numId="56" w16cid:durableId="222107107">
    <w:abstractNumId w:val="35"/>
  </w:num>
  <w:num w:numId="57" w16cid:durableId="942957961">
    <w:abstractNumId w:val="8"/>
  </w:num>
  <w:num w:numId="58" w16cid:durableId="1509058456">
    <w:abstractNumId w:val="59"/>
  </w:num>
  <w:num w:numId="59" w16cid:durableId="220949157">
    <w:abstractNumId w:val="63"/>
  </w:num>
  <w:num w:numId="60" w16cid:durableId="408305133">
    <w:abstractNumId w:val="54"/>
  </w:num>
  <w:num w:numId="61" w16cid:durableId="1032418120">
    <w:abstractNumId w:val="38"/>
  </w:num>
  <w:num w:numId="62" w16cid:durableId="43414379">
    <w:abstractNumId w:val="10"/>
  </w:num>
  <w:num w:numId="63" w16cid:durableId="360514655">
    <w:abstractNumId w:val="44"/>
  </w:num>
  <w:num w:numId="64" w16cid:durableId="1190339254">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09"/>
    <w:rsid w:val="0001149C"/>
    <w:rsid w:val="00013FFE"/>
    <w:rsid w:val="000227DE"/>
    <w:rsid w:val="000268C0"/>
    <w:rsid w:val="0003392D"/>
    <w:rsid w:val="0004177F"/>
    <w:rsid w:val="0004286D"/>
    <w:rsid w:val="00043E01"/>
    <w:rsid w:val="0004518C"/>
    <w:rsid w:val="00060845"/>
    <w:rsid w:val="00070667"/>
    <w:rsid w:val="0007187A"/>
    <w:rsid w:val="00075AFE"/>
    <w:rsid w:val="0008140E"/>
    <w:rsid w:val="000923CD"/>
    <w:rsid w:val="00093E29"/>
    <w:rsid w:val="000A10A6"/>
    <w:rsid w:val="000C111D"/>
    <w:rsid w:val="000C1E26"/>
    <w:rsid w:val="000D4831"/>
    <w:rsid w:val="000D4E22"/>
    <w:rsid w:val="000F30FD"/>
    <w:rsid w:val="000F4370"/>
    <w:rsid w:val="000F4888"/>
    <w:rsid w:val="000F7A1B"/>
    <w:rsid w:val="00107D6D"/>
    <w:rsid w:val="00111701"/>
    <w:rsid w:val="00116DF9"/>
    <w:rsid w:val="001220AF"/>
    <w:rsid w:val="001233AA"/>
    <w:rsid w:val="001326A5"/>
    <w:rsid w:val="0013B635"/>
    <w:rsid w:val="001421C9"/>
    <w:rsid w:val="0017424B"/>
    <w:rsid w:val="001928B7"/>
    <w:rsid w:val="001A0783"/>
    <w:rsid w:val="001D7703"/>
    <w:rsid w:val="001F7E70"/>
    <w:rsid w:val="002004A5"/>
    <w:rsid w:val="00242575"/>
    <w:rsid w:val="002442A0"/>
    <w:rsid w:val="00246160"/>
    <w:rsid w:val="00265AF1"/>
    <w:rsid w:val="0027522B"/>
    <w:rsid w:val="002A44F7"/>
    <w:rsid w:val="002C3918"/>
    <w:rsid w:val="002D5697"/>
    <w:rsid w:val="00312E8B"/>
    <w:rsid w:val="003276CA"/>
    <w:rsid w:val="00332120"/>
    <w:rsid w:val="00340780"/>
    <w:rsid w:val="00350227"/>
    <w:rsid w:val="003B5473"/>
    <w:rsid w:val="003C44F3"/>
    <w:rsid w:val="003D3D5B"/>
    <w:rsid w:val="003E2419"/>
    <w:rsid w:val="003F5329"/>
    <w:rsid w:val="0041258A"/>
    <w:rsid w:val="00421B3D"/>
    <w:rsid w:val="004225D6"/>
    <w:rsid w:val="004302D5"/>
    <w:rsid w:val="00442200"/>
    <w:rsid w:val="004523F4"/>
    <w:rsid w:val="004577A2"/>
    <w:rsid w:val="0047248D"/>
    <w:rsid w:val="00473BA3"/>
    <w:rsid w:val="004B1FC1"/>
    <w:rsid w:val="004C1978"/>
    <w:rsid w:val="004C2E00"/>
    <w:rsid w:val="00514D0A"/>
    <w:rsid w:val="00523E1F"/>
    <w:rsid w:val="005339C9"/>
    <w:rsid w:val="005444DF"/>
    <w:rsid w:val="00552958"/>
    <w:rsid w:val="00574976"/>
    <w:rsid w:val="005939F8"/>
    <w:rsid w:val="005A19BD"/>
    <w:rsid w:val="005C4F93"/>
    <w:rsid w:val="005C5677"/>
    <w:rsid w:val="005E4C5D"/>
    <w:rsid w:val="005E697B"/>
    <w:rsid w:val="00601FA7"/>
    <w:rsid w:val="00624187"/>
    <w:rsid w:val="006245EA"/>
    <w:rsid w:val="0064130B"/>
    <w:rsid w:val="00670104"/>
    <w:rsid w:val="006710D6"/>
    <w:rsid w:val="00673062"/>
    <w:rsid w:val="006A7A8A"/>
    <w:rsid w:val="006B373B"/>
    <w:rsid w:val="006C7CAC"/>
    <w:rsid w:val="006F1832"/>
    <w:rsid w:val="006F25D4"/>
    <w:rsid w:val="007027DC"/>
    <w:rsid w:val="00705A45"/>
    <w:rsid w:val="00721535"/>
    <w:rsid w:val="00764770"/>
    <w:rsid w:val="007663E1"/>
    <w:rsid w:val="0076713F"/>
    <w:rsid w:val="00767CB1"/>
    <w:rsid w:val="007805F6"/>
    <w:rsid w:val="00791A9A"/>
    <w:rsid w:val="007C3853"/>
    <w:rsid w:val="007D735E"/>
    <w:rsid w:val="007E0B55"/>
    <w:rsid w:val="007F46D9"/>
    <w:rsid w:val="00801167"/>
    <w:rsid w:val="00837449"/>
    <w:rsid w:val="008436C1"/>
    <w:rsid w:val="0087226D"/>
    <w:rsid w:val="0087532E"/>
    <w:rsid w:val="008B271D"/>
    <w:rsid w:val="008B4277"/>
    <w:rsid w:val="008B59DA"/>
    <w:rsid w:val="008C3C58"/>
    <w:rsid w:val="008C4FA1"/>
    <w:rsid w:val="008E0220"/>
    <w:rsid w:val="008E0E94"/>
    <w:rsid w:val="008E2B05"/>
    <w:rsid w:val="008F7D03"/>
    <w:rsid w:val="00910901"/>
    <w:rsid w:val="0092792F"/>
    <w:rsid w:val="00932665"/>
    <w:rsid w:val="00935340"/>
    <w:rsid w:val="00976A6A"/>
    <w:rsid w:val="00977A61"/>
    <w:rsid w:val="009B573E"/>
    <w:rsid w:val="009C18AD"/>
    <w:rsid w:val="00A04015"/>
    <w:rsid w:val="00A14A07"/>
    <w:rsid w:val="00A16AAF"/>
    <w:rsid w:val="00A32FFC"/>
    <w:rsid w:val="00A41027"/>
    <w:rsid w:val="00A57FBD"/>
    <w:rsid w:val="00A65DB5"/>
    <w:rsid w:val="00A8655C"/>
    <w:rsid w:val="00AB4139"/>
    <w:rsid w:val="00AC6A36"/>
    <w:rsid w:val="00AF37A6"/>
    <w:rsid w:val="00AF3E21"/>
    <w:rsid w:val="00AF5056"/>
    <w:rsid w:val="00B01CF9"/>
    <w:rsid w:val="00B021D4"/>
    <w:rsid w:val="00B318F1"/>
    <w:rsid w:val="00B32F97"/>
    <w:rsid w:val="00B331F5"/>
    <w:rsid w:val="00B42758"/>
    <w:rsid w:val="00B53F56"/>
    <w:rsid w:val="00B70995"/>
    <w:rsid w:val="00B70A14"/>
    <w:rsid w:val="00B90DD0"/>
    <w:rsid w:val="00BB6E1A"/>
    <w:rsid w:val="00BE19B8"/>
    <w:rsid w:val="00BE6881"/>
    <w:rsid w:val="00BF4885"/>
    <w:rsid w:val="00BF631B"/>
    <w:rsid w:val="00C00DB1"/>
    <w:rsid w:val="00C27E72"/>
    <w:rsid w:val="00C4655C"/>
    <w:rsid w:val="00C740DA"/>
    <w:rsid w:val="00C814BD"/>
    <w:rsid w:val="00C90608"/>
    <w:rsid w:val="00C91B98"/>
    <w:rsid w:val="00CA336A"/>
    <w:rsid w:val="00CA5FD5"/>
    <w:rsid w:val="00CF7CAB"/>
    <w:rsid w:val="00D05675"/>
    <w:rsid w:val="00D27052"/>
    <w:rsid w:val="00D33813"/>
    <w:rsid w:val="00D741D5"/>
    <w:rsid w:val="00D80F2F"/>
    <w:rsid w:val="00DB3DAE"/>
    <w:rsid w:val="00DB5BE5"/>
    <w:rsid w:val="00DC6520"/>
    <w:rsid w:val="00DD7530"/>
    <w:rsid w:val="00E0541D"/>
    <w:rsid w:val="00E26960"/>
    <w:rsid w:val="00E32556"/>
    <w:rsid w:val="00E34FB6"/>
    <w:rsid w:val="00E41FDE"/>
    <w:rsid w:val="00E456D9"/>
    <w:rsid w:val="00E4710E"/>
    <w:rsid w:val="00E53E85"/>
    <w:rsid w:val="00E8319F"/>
    <w:rsid w:val="00EA1C09"/>
    <w:rsid w:val="00EA3714"/>
    <w:rsid w:val="00EA6A70"/>
    <w:rsid w:val="00EB0B5F"/>
    <w:rsid w:val="00EC6A33"/>
    <w:rsid w:val="00F27251"/>
    <w:rsid w:val="00F51ACF"/>
    <w:rsid w:val="00F554F8"/>
    <w:rsid w:val="00FA2002"/>
    <w:rsid w:val="00FA77BC"/>
    <w:rsid w:val="00FB4FC1"/>
    <w:rsid w:val="00FC48D4"/>
    <w:rsid w:val="00FE3A28"/>
    <w:rsid w:val="00FE713D"/>
    <w:rsid w:val="0150C65A"/>
    <w:rsid w:val="0158B560"/>
    <w:rsid w:val="01AACA8F"/>
    <w:rsid w:val="01C9FC5C"/>
    <w:rsid w:val="020CEC37"/>
    <w:rsid w:val="0211CB2C"/>
    <w:rsid w:val="0267963C"/>
    <w:rsid w:val="02CF6C64"/>
    <w:rsid w:val="0335E2CB"/>
    <w:rsid w:val="037420B3"/>
    <w:rsid w:val="03C78278"/>
    <w:rsid w:val="03E9C3DC"/>
    <w:rsid w:val="045C1C5E"/>
    <w:rsid w:val="045CD98B"/>
    <w:rsid w:val="053CB1CF"/>
    <w:rsid w:val="05A1AAEA"/>
    <w:rsid w:val="06235D7B"/>
    <w:rsid w:val="063871D7"/>
    <w:rsid w:val="068AF81B"/>
    <w:rsid w:val="06B582CF"/>
    <w:rsid w:val="06EFF819"/>
    <w:rsid w:val="071A0612"/>
    <w:rsid w:val="082090AD"/>
    <w:rsid w:val="083533CB"/>
    <w:rsid w:val="08FB5715"/>
    <w:rsid w:val="090C6945"/>
    <w:rsid w:val="093CF40F"/>
    <w:rsid w:val="0952AAB6"/>
    <w:rsid w:val="0ACFE2BA"/>
    <w:rsid w:val="0B2EA850"/>
    <w:rsid w:val="0B313308"/>
    <w:rsid w:val="0C11B6CF"/>
    <w:rsid w:val="0C86AA9F"/>
    <w:rsid w:val="0C92D102"/>
    <w:rsid w:val="0CA92716"/>
    <w:rsid w:val="0CA9DB70"/>
    <w:rsid w:val="0CAE6EB5"/>
    <w:rsid w:val="0D158CCC"/>
    <w:rsid w:val="0E1B0197"/>
    <w:rsid w:val="0E396140"/>
    <w:rsid w:val="0EE0FC59"/>
    <w:rsid w:val="0EE9B691"/>
    <w:rsid w:val="0F22B7F0"/>
    <w:rsid w:val="0FE4E3AC"/>
    <w:rsid w:val="0FE958EF"/>
    <w:rsid w:val="1053C8B3"/>
    <w:rsid w:val="1079B7F3"/>
    <w:rsid w:val="10932C5D"/>
    <w:rsid w:val="11553ABD"/>
    <w:rsid w:val="11631508"/>
    <w:rsid w:val="11B95425"/>
    <w:rsid w:val="11CE2241"/>
    <w:rsid w:val="1275E15C"/>
    <w:rsid w:val="129B3122"/>
    <w:rsid w:val="12A59345"/>
    <w:rsid w:val="12A7A074"/>
    <w:rsid w:val="12C6E689"/>
    <w:rsid w:val="12E11A39"/>
    <w:rsid w:val="1335E213"/>
    <w:rsid w:val="138D78A2"/>
    <w:rsid w:val="143976DF"/>
    <w:rsid w:val="1479C17F"/>
    <w:rsid w:val="149DA5BA"/>
    <w:rsid w:val="158AB631"/>
    <w:rsid w:val="159C0226"/>
    <w:rsid w:val="15BAE31B"/>
    <w:rsid w:val="16BD4DB3"/>
    <w:rsid w:val="174EDEB6"/>
    <w:rsid w:val="177F6005"/>
    <w:rsid w:val="18C912F9"/>
    <w:rsid w:val="193AB30C"/>
    <w:rsid w:val="1979DACF"/>
    <w:rsid w:val="19A885BF"/>
    <w:rsid w:val="19D4BBD1"/>
    <w:rsid w:val="19F22B5B"/>
    <w:rsid w:val="1A2B670E"/>
    <w:rsid w:val="1A2EB412"/>
    <w:rsid w:val="1A452ACE"/>
    <w:rsid w:val="1B3351FD"/>
    <w:rsid w:val="1BF93D49"/>
    <w:rsid w:val="1CBE0D4D"/>
    <w:rsid w:val="1D7ACE5B"/>
    <w:rsid w:val="1D8DFFE0"/>
    <w:rsid w:val="1D8FDA77"/>
    <w:rsid w:val="1DA04F9C"/>
    <w:rsid w:val="1DFAEE59"/>
    <w:rsid w:val="1E54226E"/>
    <w:rsid w:val="1E827491"/>
    <w:rsid w:val="1EA2D0A8"/>
    <w:rsid w:val="1EB4591C"/>
    <w:rsid w:val="1ED91F70"/>
    <w:rsid w:val="1F1B0D69"/>
    <w:rsid w:val="202721B7"/>
    <w:rsid w:val="20351D80"/>
    <w:rsid w:val="20F976F5"/>
    <w:rsid w:val="21770649"/>
    <w:rsid w:val="219F271A"/>
    <w:rsid w:val="21D62E8E"/>
    <w:rsid w:val="22014BAF"/>
    <w:rsid w:val="22A3D8B8"/>
    <w:rsid w:val="22B96305"/>
    <w:rsid w:val="238AB2AC"/>
    <w:rsid w:val="23B05C46"/>
    <w:rsid w:val="23B328FA"/>
    <w:rsid w:val="240292BF"/>
    <w:rsid w:val="242837D7"/>
    <w:rsid w:val="24C536F3"/>
    <w:rsid w:val="251741D1"/>
    <w:rsid w:val="2605FDF4"/>
    <w:rsid w:val="2696D18D"/>
    <w:rsid w:val="2735B4AA"/>
    <w:rsid w:val="2763F035"/>
    <w:rsid w:val="277D6DA6"/>
    <w:rsid w:val="27A1B1ED"/>
    <w:rsid w:val="27E1EAC2"/>
    <w:rsid w:val="28745C1A"/>
    <w:rsid w:val="28C70CA9"/>
    <w:rsid w:val="28F2579F"/>
    <w:rsid w:val="290C750A"/>
    <w:rsid w:val="291000B2"/>
    <w:rsid w:val="2950CB25"/>
    <w:rsid w:val="29687942"/>
    <w:rsid w:val="2991D9C8"/>
    <w:rsid w:val="2A6EF831"/>
    <w:rsid w:val="2A837986"/>
    <w:rsid w:val="2ABF58C2"/>
    <w:rsid w:val="2AF7DA15"/>
    <w:rsid w:val="2B0C2383"/>
    <w:rsid w:val="2B128A38"/>
    <w:rsid w:val="2B3029F6"/>
    <w:rsid w:val="2B72820A"/>
    <w:rsid w:val="2B99FF49"/>
    <w:rsid w:val="2BD60C25"/>
    <w:rsid w:val="2CF3EF7D"/>
    <w:rsid w:val="2CFD793E"/>
    <w:rsid w:val="2D448361"/>
    <w:rsid w:val="2D4CDD51"/>
    <w:rsid w:val="2D85DDA1"/>
    <w:rsid w:val="2DD3FD6C"/>
    <w:rsid w:val="2E5A7080"/>
    <w:rsid w:val="2E681002"/>
    <w:rsid w:val="2E97F8D1"/>
    <w:rsid w:val="2E98B7D4"/>
    <w:rsid w:val="2F65B136"/>
    <w:rsid w:val="2F69BB5B"/>
    <w:rsid w:val="2FCA7857"/>
    <w:rsid w:val="2FF7C72D"/>
    <w:rsid w:val="30593A5D"/>
    <w:rsid w:val="30773A7C"/>
    <w:rsid w:val="31857737"/>
    <w:rsid w:val="31A121C7"/>
    <w:rsid w:val="31F80857"/>
    <w:rsid w:val="3206A735"/>
    <w:rsid w:val="32077016"/>
    <w:rsid w:val="32111D67"/>
    <w:rsid w:val="3237AE09"/>
    <w:rsid w:val="32D24C3B"/>
    <w:rsid w:val="32E8C695"/>
    <w:rsid w:val="32EF8093"/>
    <w:rsid w:val="3417AF4A"/>
    <w:rsid w:val="342CE3E1"/>
    <w:rsid w:val="3438F870"/>
    <w:rsid w:val="345AD67C"/>
    <w:rsid w:val="34A2C28A"/>
    <w:rsid w:val="34D1348A"/>
    <w:rsid w:val="34DE8A01"/>
    <w:rsid w:val="34EC9B2E"/>
    <w:rsid w:val="3506DDAC"/>
    <w:rsid w:val="353E9F7F"/>
    <w:rsid w:val="35DBF3F1"/>
    <w:rsid w:val="360E47D1"/>
    <w:rsid w:val="3695C4AA"/>
    <w:rsid w:val="36A2016E"/>
    <w:rsid w:val="37344B79"/>
    <w:rsid w:val="375A2EEC"/>
    <w:rsid w:val="37B2B01D"/>
    <w:rsid w:val="37B2C3E5"/>
    <w:rsid w:val="37B7B0C4"/>
    <w:rsid w:val="384B81D2"/>
    <w:rsid w:val="38B96123"/>
    <w:rsid w:val="38BC7303"/>
    <w:rsid w:val="38BF9C62"/>
    <w:rsid w:val="396BFD80"/>
    <w:rsid w:val="39ADEBA8"/>
    <w:rsid w:val="39BDDDDF"/>
    <w:rsid w:val="39CB6B34"/>
    <w:rsid w:val="3A049B82"/>
    <w:rsid w:val="3A157012"/>
    <w:rsid w:val="3A51012C"/>
    <w:rsid w:val="3A69FA3C"/>
    <w:rsid w:val="3AC7A456"/>
    <w:rsid w:val="3B0A5F13"/>
    <w:rsid w:val="3B16FB9E"/>
    <w:rsid w:val="3B38AD9A"/>
    <w:rsid w:val="3C033CB2"/>
    <w:rsid w:val="3C10D88F"/>
    <w:rsid w:val="3C1A86B5"/>
    <w:rsid w:val="3C2AA677"/>
    <w:rsid w:val="3C35AC01"/>
    <w:rsid w:val="3CB1B9E0"/>
    <w:rsid w:val="3CBDCA77"/>
    <w:rsid w:val="3CCB1601"/>
    <w:rsid w:val="3D174766"/>
    <w:rsid w:val="3D2F40CD"/>
    <w:rsid w:val="3D36D16C"/>
    <w:rsid w:val="3D905A04"/>
    <w:rsid w:val="3D9BCEC4"/>
    <w:rsid w:val="3E7DB352"/>
    <w:rsid w:val="3EADC67A"/>
    <w:rsid w:val="3F24CF81"/>
    <w:rsid w:val="3F305F7D"/>
    <w:rsid w:val="3F6DA6A4"/>
    <w:rsid w:val="3FC671D4"/>
    <w:rsid w:val="3FC8ACD1"/>
    <w:rsid w:val="3FCFC093"/>
    <w:rsid w:val="3FFBB21C"/>
    <w:rsid w:val="405048FB"/>
    <w:rsid w:val="40A95F18"/>
    <w:rsid w:val="40BFB8A7"/>
    <w:rsid w:val="40C93531"/>
    <w:rsid w:val="40ECA398"/>
    <w:rsid w:val="410E79B9"/>
    <w:rsid w:val="41559113"/>
    <w:rsid w:val="415CDDAE"/>
    <w:rsid w:val="416C5D8C"/>
    <w:rsid w:val="41B6573A"/>
    <w:rsid w:val="429D2CF7"/>
    <w:rsid w:val="435EDA91"/>
    <w:rsid w:val="43A2A477"/>
    <w:rsid w:val="44DF4033"/>
    <w:rsid w:val="44EB0D95"/>
    <w:rsid w:val="45164629"/>
    <w:rsid w:val="4544F8C6"/>
    <w:rsid w:val="454D9C49"/>
    <w:rsid w:val="457513F6"/>
    <w:rsid w:val="45938565"/>
    <w:rsid w:val="4599BF6D"/>
    <w:rsid w:val="45C8C9AD"/>
    <w:rsid w:val="45DB9ABA"/>
    <w:rsid w:val="45E6D1D9"/>
    <w:rsid w:val="4620C733"/>
    <w:rsid w:val="4673D694"/>
    <w:rsid w:val="47233714"/>
    <w:rsid w:val="475D3E5F"/>
    <w:rsid w:val="4790B8F3"/>
    <w:rsid w:val="4794332E"/>
    <w:rsid w:val="48AE0885"/>
    <w:rsid w:val="49175B8D"/>
    <w:rsid w:val="49337E82"/>
    <w:rsid w:val="49357848"/>
    <w:rsid w:val="49935B07"/>
    <w:rsid w:val="49B8594F"/>
    <w:rsid w:val="4A0AEAF7"/>
    <w:rsid w:val="4A150A69"/>
    <w:rsid w:val="4A231F47"/>
    <w:rsid w:val="4AAA76BC"/>
    <w:rsid w:val="4B0B3539"/>
    <w:rsid w:val="4B498E84"/>
    <w:rsid w:val="4BA21DAC"/>
    <w:rsid w:val="4BCB558E"/>
    <w:rsid w:val="4BDBE227"/>
    <w:rsid w:val="4BEF0449"/>
    <w:rsid w:val="4C55AD96"/>
    <w:rsid w:val="4CF7F8E0"/>
    <w:rsid w:val="4D0B3E14"/>
    <w:rsid w:val="4DC54A34"/>
    <w:rsid w:val="4E077623"/>
    <w:rsid w:val="4E0AE33B"/>
    <w:rsid w:val="4E382DC9"/>
    <w:rsid w:val="4E46C0A4"/>
    <w:rsid w:val="4E46F405"/>
    <w:rsid w:val="4E517080"/>
    <w:rsid w:val="4EBA809A"/>
    <w:rsid w:val="4EF894B8"/>
    <w:rsid w:val="4FB6538C"/>
    <w:rsid w:val="50276E6E"/>
    <w:rsid w:val="510C4C87"/>
    <w:rsid w:val="5147EA00"/>
    <w:rsid w:val="515A1A91"/>
    <w:rsid w:val="51780B29"/>
    <w:rsid w:val="522A3CBC"/>
    <w:rsid w:val="52399A02"/>
    <w:rsid w:val="5280B83F"/>
    <w:rsid w:val="52E4945F"/>
    <w:rsid w:val="5321DC3C"/>
    <w:rsid w:val="535DBDC9"/>
    <w:rsid w:val="53E4BAE2"/>
    <w:rsid w:val="543AD01F"/>
    <w:rsid w:val="54561B70"/>
    <w:rsid w:val="546858D7"/>
    <w:rsid w:val="5475DEAD"/>
    <w:rsid w:val="561534CE"/>
    <w:rsid w:val="563E1863"/>
    <w:rsid w:val="56975D6A"/>
    <w:rsid w:val="56EC53A6"/>
    <w:rsid w:val="5749A382"/>
    <w:rsid w:val="576A9937"/>
    <w:rsid w:val="5789EE28"/>
    <w:rsid w:val="584AE64F"/>
    <w:rsid w:val="59514E56"/>
    <w:rsid w:val="59A27D4C"/>
    <w:rsid w:val="59A92471"/>
    <w:rsid w:val="5A6EC346"/>
    <w:rsid w:val="5AD1D860"/>
    <w:rsid w:val="5AE57BAC"/>
    <w:rsid w:val="5B0B238D"/>
    <w:rsid w:val="5B46274B"/>
    <w:rsid w:val="5B61BCEA"/>
    <w:rsid w:val="5B87470F"/>
    <w:rsid w:val="5CC4CF61"/>
    <w:rsid w:val="5CEE7902"/>
    <w:rsid w:val="5D031DC7"/>
    <w:rsid w:val="5D233C68"/>
    <w:rsid w:val="5D42FBBF"/>
    <w:rsid w:val="5D803FFF"/>
    <w:rsid w:val="5D8B67E5"/>
    <w:rsid w:val="5DB9E095"/>
    <w:rsid w:val="5DD05B38"/>
    <w:rsid w:val="5E231B10"/>
    <w:rsid w:val="5E951487"/>
    <w:rsid w:val="5EC60A29"/>
    <w:rsid w:val="5F2186D0"/>
    <w:rsid w:val="5F420C7C"/>
    <w:rsid w:val="5F52A3D9"/>
    <w:rsid w:val="60116C39"/>
    <w:rsid w:val="602754AD"/>
    <w:rsid w:val="6098ECD0"/>
    <w:rsid w:val="615984B4"/>
    <w:rsid w:val="61D073DF"/>
    <w:rsid w:val="6224020F"/>
    <w:rsid w:val="622F6C89"/>
    <w:rsid w:val="62785529"/>
    <w:rsid w:val="62B00CF4"/>
    <w:rsid w:val="636BF2F9"/>
    <w:rsid w:val="639C941D"/>
    <w:rsid w:val="63A63AB5"/>
    <w:rsid w:val="6423012F"/>
    <w:rsid w:val="642DBC47"/>
    <w:rsid w:val="647D8DE0"/>
    <w:rsid w:val="64DE53C3"/>
    <w:rsid w:val="6550411F"/>
    <w:rsid w:val="65BC1EF5"/>
    <w:rsid w:val="65C1A958"/>
    <w:rsid w:val="65DC5989"/>
    <w:rsid w:val="6609D420"/>
    <w:rsid w:val="66889F74"/>
    <w:rsid w:val="67BFF35F"/>
    <w:rsid w:val="67E8FAE6"/>
    <w:rsid w:val="67F16EBC"/>
    <w:rsid w:val="693C34ED"/>
    <w:rsid w:val="6979A589"/>
    <w:rsid w:val="698002DE"/>
    <w:rsid w:val="69B54CD2"/>
    <w:rsid w:val="69C7D0F1"/>
    <w:rsid w:val="69CF3BFB"/>
    <w:rsid w:val="69DA7C87"/>
    <w:rsid w:val="6AD4D28F"/>
    <w:rsid w:val="6ADBBB2F"/>
    <w:rsid w:val="6B2493D4"/>
    <w:rsid w:val="6B2EE71A"/>
    <w:rsid w:val="6B5B5923"/>
    <w:rsid w:val="6BCAB1C1"/>
    <w:rsid w:val="6BE74777"/>
    <w:rsid w:val="6BE77F56"/>
    <w:rsid w:val="6BEFD4D5"/>
    <w:rsid w:val="6BF02C36"/>
    <w:rsid w:val="6C133AF1"/>
    <w:rsid w:val="6C218959"/>
    <w:rsid w:val="6C261683"/>
    <w:rsid w:val="6C912881"/>
    <w:rsid w:val="6D15B458"/>
    <w:rsid w:val="6D2AC924"/>
    <w:rsid w:val="6D6BEFFC"/>
    <w:rsid w:val="6D80326B"/>
    <w:rsid w:val="6D980C7A"/>
    <w:rsid w:val="6DCAFA2E"/>
    <w:rsid w:val="6DD9394B"/>
    <w:rsid w:val="6DECD140"/>
    <w:rsid w:val="6DEF5892"/>
    <w:rsid w:val="6E88B380"/>
    <w:rsid w:val="6EE97A3F"/>
    <w:rsid w:val="6F2B1DD8"/>
    <w:rsid w:val="6F702D31"/>
    <w:rsid w:val="6F8DD164"/>
    <w:rsid w:val="6F9C4D14"/>
    <w:rsid w:val="6FDEFB69"/>
    <w:rsid w:val="6FE336B7"/>
    <w:rsid w:val="700FCD6B"/>
    <w:rsid w:val="712B4E00"/>
    <w:rsid w:val="71517A21"/>
    <w:rsid w:val="7197EFE3"/>
    <w:rsid w:val="7201BAD2"/>
    <w:rsid w:val="72630A59"/>
    <w:rsid w:val="72662AF5"/>
    <w:rsid w:val="7279A140"/>
    <w:rsid w:val="729261C5"/>
    <w:rsid w:val="73DFCB16"/>
    <w:rsid w:val="74713517"/>
    <w:rsid w:val="7471E40E"/>
    <w:rsid w:val="757C3840"/>
    <w:rsid w:val="75AD51A5"/>
    <w:rsid w:val="75EC30DD"/>
    <w:rsid w:val="7665A1B7"/>
    <w:rsid w:val="7697AB6D"/>
    <w:rsid w:val="76ED72AA"/>
    <w:rsid w:val="7735A148"/>
    <w:rsid w:val="776D8BA5"/>
    <w:rsid w:val="777A4904"/>
    <w:rsid w:val="77C5CAC4"/>
    <w:rsid w:val="77FE081F"/>
    <w:rsid w:val="7835625D"/>
    <w:rsid w:val="78A24DC0"/>
    <w:rsid w:val="7946BA72"/>
    <w:rsid w:val="798F1010"/>
    <w:rsid w:val="79A4CB6F"/>
    <w:rsid w:val="79C07C43"/>
    <w:rsid w:val="7A144845"/>
    <w:rsid w:val="7A1C1433"/>
    <w:rsid w:val="7A57801B"/>
    <w:rsid w:val="7AB2FF3A"/>
    <w:rsid w:val="7AFB3BB3"/>
    <w:rsid w:val="7B3E0A06"/>
    <w:rsid w:val="7B6B4197"/>
    <w:rsid w:val="7BBBBE63"/>
    <w:rsid w:val="7BBF27AA"/>
    <w:rsid w:val="7BFFCF7F"/>
    <w:rsid w:val="7C08B7B4"/>
    <w:rsid w:val="7C8E1ECC"/>
    <w:rsid w:val="7CC6C513"/>
    <w:rsid w:val="7D24670F"/>
    <w:rsid w:val="7D3F0CD2"/>
    <w:rsid w:val="7D779B8C"/>
    <w:rsid w:val="7D7C5315"/>
    <w:rsid w:val="7E77C2D7"/>
    <w:rsid w:val="7ED7F7D7"/>
    <w:rsid w:val="7EF1B1C7"/>
    <w:rsid w:val="7F119F84"/>
    <w:rsid w:val="7F47622F"/>
    <w:rsid w:val="7F993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921C"/>
  <w15:chartTrackingRefBased/>
  <w15:docId w15:val="{9786F925-0609-4304-B779-238670D20F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A1C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C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A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D5"/>
    <w:pPr>
      <w:keepNext/>
      <w:keepLines/>
      <w:spacing w:before="40" w:after="0" w:line="240" w:lineRule="auto"/>
      <w:outlineLvl w:val="7"/>
    </w:pPr>
    <w:rPr>
      <w:rFonts w:asciiTheme="majorHAnsi" w:hAnsiTheme="majorHAnsi" w:eastAsiaTheme="majorEastAsia" w:cstheme="majorBidi"/>
      <w:color w:val="272727" w:themeColor="text1" w:themeTint="D8"/>
      <w:kern w:val="0"/>
      <w:sz w:val="22"/>
      <w:szCs w:val="21"/>
      <w:lang w:eastAsia="ja-JP"/>
      <w14:ligatures w14:val="none"/>
    </w:rPr>
  </w:style>
  <w:style w:type="paragraph" w:styleId="Heading9">
    <w:name w:val="heading 9"/>
    <w:basedOn w:val="Normal"/>
    <w:next w:val="Normal"/>
    <w:link w:val="Heading9Char"/>
    <w:uiPriority w:val="9"/>
    <w:semiHidden/>
    <w:unhideWhenUsed/>
    <w:qFormat/>
    <w:rsid w:val="00EA1C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8Char" w:customStyle="1">
    <w:name w:val="Heading 8 Char"/>
    <w:basedOn w:val="DefaultParagraphFont"/>
    <w:link w:val="Heading8"/>
    <w:uiPriority w:val="9"/>
    <w:semiHidden/>
    <w:rsid w:val="004302D5"/>
    <w:rPr>
      <w:rFonts w:asciiTheme="majorHAnsi" w:hAnsiTheme="majorHAnsi" w:eastAsiaTheme="majorEastAsia" w:cstheme="majorBidi"/>
      <w:color w:val="272727" w:themeColor="text1" w:themeTint="D8"/>
      <w:kern w:val="0"/>
      <w:sz w:val="22"/>
      <w:szCs w:val="21"/>
      <w:lang w:eastAsia="ja-JP"/>
      <w14:ligatures w14:val="none"/>
    </w:rPr>
  </w:style>
  <w:style w:type="character" w:styleId="Heading1Char" w:customStyle="1">
    <w:name w:val="Heading 1 Char"/>
    <w:basedOn w:val="DefaultParagraphFont"/>
    <w:link w:val="Heading1"/>
    <w:uiPriority w:val="9"/>
    <w:rsid w:val="00EA1C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A1C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A1C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EA1C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EA1C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1C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1C09"/>
    <w:rPr>
      <w:rFonts w:eastAsiaTheme="majorEastAsia" w:cstheme="majorBidi"/>
      <w:color w:val="595959" w:themeColor="text1" w:themeTint="A6"/>
    </w:rPr>
  </w:style>
  <w:style w:type="character" w:styleId="Heading9Char" w:customStyle="1">
    <w:name w:val="Heading 9 Char"/>
    <w:basedOn w:val="DefaultParagraphFont"/>
    <w:link w:val="Heading9"/>
    <w:uiPriority w:val="9"/>
    <w:semiHidden/>
    <w:rsid w:val="00EA1C09"/>
    <w:rPr>
      <w:rFonts w:eastAsiaTheme="majorEastAsia" w:cstheme="majorBidi"/>
      <w:color w:val="272727" w:themeColor="text1" w:themeTint="D8"/>
    </w:rPr>
  </w:style>
  <w:style w:type="paragraph" w:styleId="Title">
    <w:name w:val="Title"/>
    <w:basedOn w:val="Normal"/>
    <w:next w:val="Normal"/>
    <w:link w:val="TitleChar"/>
    <w:uiPriority w:val="10"/>
    <w:qFormat/>
    <w:rsid w:val="00EA1C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1C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1C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C09"/>
    <w:pPr>
      <w:spacing w:before="160"/>
      <w:jc w:val="center"/>
    </w:pPr>
    <w:rPr>
      <w:i/>
      <w:iCs/>
      <w:color w:val="404040" w:themeColor="text1" w:themeTint="BF"/>
    </w:rPr>
  </w:style>
  <w:style w:type="character" w:styleId="QuoteChar" w:customStyle="1">
    <w:name w:val="Quote Char"/>
    <w:basedOn w:val="DefaultParagraphFont"/>
    <w:link w:val="Quote"/>
    <w:uiPriority w:val="29"/>
    <w:rsid w:val="00EA1C09"/>
    <w:rPr>
      <w:i/>
      <w:iCs/>
      <w:color w:val="404040" w:themeColor="text1" w:themeTint="BF"/>
    </w:rPr>
  </w:style>
  <w:style w:type="paragraph" w:styleId="ListParagraph">
    <w:name w:val="List Paragraph"/>
    <w:basedOn w:val="Normal"/>
    <w:uiPriority w:val="34"/>
    <w:qFormat/>
    <w:rsid w:val="00EA1C09"/>
    <w:pPr>
      <w:ind w:left="720"/>
      <w:contextualSpacing/>
    </w:pPr>
  </w:style>
  <w:style w:type="character" w:styleId="IntenseEmphasis">
    <w:name w:val="Intense Emphasis"/>
    <w:basedOn w:val="DefaultParagraphFont"/>
    <w:uiPriority w:val="21"/>
    <w:qFormat/>
    <w:rsid w:val="00EA1C09"/>
    <w:rPr>
      <w:i/>
      <w:iCs/>
      <w:color w:val="0F4761" w:themeColor="accent1" w:themeShade="BF"/>
    </w:rPr>
  </w:style>
  <w:style w:type="paragraph" w:styleId="IntenseQuote">
    <w:name w:val="Intense Quote"/>
    <w:basedOn w:val="Normal"/>
    <w:next w:val="Normal"/>
    <w:link w:val="IntenseQuoteChar"/>
    <w:uiPriority w:val="30"/>
    <w:qFormat/>
    <w:rsid w:val="00EA1C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1C09"/>
    <w:rPr>
      <w:i/>
      <w:iCs/>
      <w:color w:val="0F4761" w:themeColor="accent1" w:themeShade="BF"/>
    </w:rPr>
  </w:style>
  <w:style w:type="character" w:styleId="IntenseReference">
    <w:name w:val="Intense Reference"/>
    <w:basedOn w:val="DefaultParagraphFont"/>
    <w:uiPriority w:val="32"/>
    <w:qFormat/>
    <w:rsid w:val="00EA1C09"/>
    <w:rPr>
      <w:b/>
      <w:bCs/>
      <w:smallCaps/>
      <w:color w:val="0F4761" w:themeColor="accent1" w:themeShade="BF"/>
      <w:spacing w:val="5"/>
    </w:rPr>
  </w:style>
  <w:style w:type="paragraph" w:styleId="paragraph" w:customStyle="1">
    <w:name w:val="paragraph"/>
    <w:basedOn w:val="Normal"/>
    <w:rsid w:val="00976A6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976A6A"/>
  </w:style>
  <w:style w:type="character" w:styleId="eop" w:customStyle="1">
    <w:name w:val="eop"/>
    <w:basedOn w:val="DefaultParagraphFont"/>
    <w:rsid w:val="00976A6A"/>
  </w:style>
  <w:style w:type="paragraph" w:styleId="NormalWeb">
    <w:name w:val="Normal (Web)"/>
    <w:basedOn w:val="Normal"/>
    <w:uiPriority w:val="99"/>
    <w:semiHidden/>
    <w:unhideWhenUsed/>
    <w:rsid w:val="003F532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28C70CA9"/>
    <w:rPr>
      <w:color w:val="467886"/>
      <w:u w:val="single"/>
    </w:rPr>
  </w:style>
  <w:style w:type="paragraph" w:styleId="Revision">
    <w:name w:val="Revision"/>
    <w:hidden/>
    <w:uiPriority w:val="99"/>
    <w:semiHidden/>
    <w:rsid w:val="0087532E"/>
    <w:pPr>
      <w:spacing w:after="0" w:line="240" w:lineRule="auto"/>
    </w:pPr>
  </w:style>
  <w:style w:type="character" w:styleId="CommentReference">
    <w:name w:val="Comment Reference"/>
    <w:basedOn w:val="DefaultParagraphFont"/>
    <w:uiPriority w:val="99"/>
    <w:semiHidden/>
    <w:unhideWhenUsed/>
    <w:rsid w:val="0087532E"/>
    <w:rPr>
      <w:sz w:val="16"/>
      <w:szCs w:val="16"/>
    </w:rPr>
  </w:style>
  <w:style w:type="paragraph" w:styleId="CommentText">
    <w:name w:val="Comment Text"/>
    <w:basedOn w:val="Normal"/>
    <w:link w:val="CommentTextChar"/>
    <w:uiPriority w:val="99"/>
    <w:unhideWhenUsed/>
    <w:rsid w:val="0087532E"/>
    <w:pPr>
      <w:spacing w:line="240" w:lineRule="auto"/>
    </w:pPr>
    <w:rPr>
      <w:sz w:val="20"/>
      <w:szCs w:val="20"/>
    </w:rPr>
  </w:style>
  <w:style w:type="character" w:styleId="CommentTextChar" w:customStyle="1">
    <w:name w:val="Comment Text Char"/>
    <w:basedOn w:val="DefaultParagraphFont"/>
    <w:link w:val="CommentText"/>
    <w:uiPriority w:val="99"/>
    <w:rsid w:val="0087532E"/>
    <w:rPr>
      <w:sz w:val="20"/>
      <w:szCs w:val="20"/>
    </w:rPr>
  </w:style>
  <w:style w:type="paragraph" w:styleId="CommentSubject">
    <w:name w:val="Comment Subject"/>
    <w:basedOn w:val="CommentText"/>
    <w:next w:val="CommentText"/>
    <w:link w:val="CommentSubjectChar"/>
    <w:uiPriority w:val="99"/>
    <w:semiHidden/>
    <w:unhideWhenUsed/>
    <w:rsid w:val="0087532E"/>
    <w:rPr>
      <w:b/>
      <w:bCs/>
    </w:rPr>
  </w:style>
  <w:style w:type="character" w:styleId="CommentSubjectChar" w:customStyle="1">
    <w:name w:val="Comment Subject Char"/>
    <w:basedOn w:val="CommentTextChar"/>
    <w:link w:val="CommentSubject"/>
    <w:uiPriority w:val="99"/>
    <w:semiHidden/>
    <w:rsid w:val="0087532E"/>
    <w:rPr>
      <w:b/>
      <w:bCs/>
      <w:sz w:val="20"/>
      <w:szCs w:val="20"/>
    </w:rPr>
  </w:style>
  <w:style w:type="paragraph" w:styleId="FootnoteText">
    <w:name w:val="footnote text"/>
    <w:basedOn w:val="Normal"/>
    <w:uiPriority w:val="99"/>
    <w:semiHidden/>
    <w:unhideWhenUsed/>
    <w:rsid w:val="7EF1B1C7"/>
    <w:pPr>
      <w:spacing w:after="0" w:line="240" w:lineRule="auto"/>
    </w:pPr>
    <w:rPr>
      <w:sz w:val="20"/>
      <w:szCs w:val="20"/>
    </w:rPr>
  </w:style>
  <w:style w:type="character" w:styleId="FootnoteReference">
    <w:name w:val="footnote reference"/>
    <w:basedOn w:val="DefaultParagraphFont"/>
    <w:uiPriority w:val="99"/>
    <w:semiHidden/>
    <w:unhideWhenUsed/>
    <w:rsid w:val="7EF1B1C7"/>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EC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uben.mota@wisc.ed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oi.org/10.1089/aut.2021.0042" TargetMode="External"/><Relationship Id="rId1" Type="http://schemas.openxmlformats.org/officeDocument/2006/relationships/hyperlink" Target="https://askjan.org/articles/Best-Practices-in-Establishing-a-Centralized-Accommodation-Fund.cf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EC6C03381614B8E59AE717C106CB7" ma:contentTypeVersion="12" ma:contentTypeDescription="Create a new document." ma:contentTypeScope="" ma:versionID="3c1486321998805a791d3e36eef97d8b">
  <xsd:schema xmlns:xsd="http://www.w3.org/2001/XMLSchema" xmlns:xs="http://www.w3.org/2001/XMLSchema" xmlns:p="http://schemas.microsoft.com/office/2006/metadata/properties" xmlns:ns2="65cd5cb1-3293-487a-bf88-11eb0dccbd26" xmlns:ns3="195f67ae-09fe-4ec7-ad03-d70ebd0cc51a" targetNamespace="http://schemas.microsoft.com/office/2006/metadata/properties" ma:root="true" ma:fieldsID="a745f490f0319fafc8885c65e7992c3c" ns2:_="" ns3:_="">
    <xsd:import namespace="65cd5cb1-3293-487a-bf88-11eb0dccbd26"/>
    <xsd:import namespace="195f67ae-09fe-4ec7-ad03-d70ebd0cc5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5cb1-3293-487a-bf88-11eb0dccb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5f67ae-09fe-4ec7-ad03-d70ebd0cc5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7FF5-DB8E-449C-A189-1A12873E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d5cb1-3293-487a-bf88-11eb0dccbd26"/>
    <ds:schemaRef ds:uri="195f67ae-09fe-4ec7-ad03-d70ebd0cc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04C21-DE88-49E5-A0B0-75927BF3D503}">
  <ds:schemaRefs>
    <ds:schemaRef ds:uri="http://schemas.microsoft.com/sharepoint/v3/contenttype/forms"/>
  </ds:schemaRefs>
</ds:datastoreItem>
</file>

<file path=customXml/itemProps3.xml><?xml version="1.0" encoding="utf-8"?>
<ds:datastoreItem xmlns:ds="http://schemas.openxmlformats.org/officeDocument/2006/customXml" ds:itemID="{90B91749-B755-4B3F-808B-93AAD412A3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73B555-5E88-46F6-B2C3-F4D58215BA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Gombosi, Shelby</dc:creator>
  <keywords/>
  <dc:description/>
  <lastModifiedBy>Gombosi, Shelby</lastModifiedBy>
  <revision>194</revision>
  <dcterms:created xsi:type="dcterms:W3CDTF">2026-03-16T22:14:00.0000000Z</dcterms:created>
  <dcterms:modified xsi:type="dcterms:W3CDTF">2026-04-20T12:49:26.9084289Z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0x010100EBCEC6C03381614B8E59AE717C106CB7</vt:lpwstr>
  </property>
</Properties>
</file>